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A2C" w14:textId="77777777" w:rsidR="00B25E85" w:rsidRDefault="00A15BBA">
      <w:pPr>
        <w:pStyle w:val="Title"/>
      </w:pPr>
      <w:r>
        <w:t>PUD Model Ordinance</w:t>
      </w:r>
    </w:p>
    <w:p w14:paraId="7A97571F" w14:textId="77777777" w:rsidR="00B25E85" w:rsidRDefault="00A15BBA">
      <w:pPr>
        <w:pStyle w:val="Heading1"/>
      </w:pPr>
      <w:bookmarkStart w:id="0" w:name="_heading=h.wsmblm5ztt5x" w:colFirst="0" w:colLast="0"/>
      <w:bookmarkEnd w:id="0"/>
      <w:r>
        <w:t>How to use the Model Ordinance</w:t>
      </w:r>
    </w:p>
    <w:p w14:paraId="1AF648DC" w14:textId="77777777" w:rsidR="00B25E85" w:rsidRDefault="00A15BBA">
      <w:r>
        <w:t>This model ordinance is intended to be a tool used for writing or updating a Planned Unit Development (PUD) zoning code. This model ordinance does not contain an exhaustive list of all options and regulations for PUDs. It should be adopted to fit each community.</w:t>
      </w:r>
    </w:p>
    <w:p w14:paraId="7555D87D" w14:textId="77777777" w:rsidR="00B25E85" w:rsidRDefault="00A15BBA">
      <w:r>
        <w:rPr>
          <w:b/>
        </w:rPr>
        <w:t>[Bold Brackets]</w:t>
      </w:r>
      <w:r>
        <w:t xml:space="preserve"> around text indicate which text </w:t>
      </w:r>
      <w:r>
        <w:rPr>
          <w:i/>
        </w:rPr>
        <w:t>must</w:t>
      </w:r>
      <w:r>
        <w:t xml:space="preserve"> be customized for each community. </w:t>
      </w:r>
    </w:p>
    <w:p w14:paraId="795F38EE" w14:textId="4D7679A0" w:rsidR="00B25E85" w:rsidRDefault="00A15BBA">
      <w:r>
        <w:rPr>
          <w:i/>
        </w:rPr>
        <w:t>(Parentheses and italic</w:t>
      </w:r>
      <w:r>
        <w:t xml:space="preserve"> </w:t>
      </w:r>
      <w:r>
        <w:rPr>
          <w:i/>
        </w:rPr>
        <w:t>text)</w:t>
      </w:r>
      <w:r>
        <w:t xml:space="preserve"> </w:t>
      </w:r>
      <w:r w:rsidR="0075480C">
        <w:t>indicate</w:t>
      </w:r>
      <w:r>
        <w:t xml:space="preserve"> comments or instructions intended to guide the community in writing their ordinance. This text should be excluded from the community’s ordinance.</w:t>
      </w:r>
    </w:p>
    <w:p w14:paraId="5517F6AC" w14:textId="77777777" w:rsidR="00B25E85" w:rsidRDefault="00A15BBA">
      <w:pPr>
        <w:pStyle w:val="Title"/>
      </w:pPr>
      <w:r>
        <w:t>Model PUD Language</w:t>
      </w:r>
    </w:p>
    <w:p w14:paraId="135F1A33" w14:textId="77777777" w:rsidR="00B25E85" w:rsidRDefault="00A15BBA">
      <w:pPr>
        <w:pStyle w:val="Heading1"/>
      </w:pPr>
      <w:r>
        <w:t xml:space="preserve">Establishment of Planned Unit Development Types </w:t>
      </w:r>
    </w:p>
    <w:p w14:paraId="427CD7B7" w14:textId="77777777" w:rsidR="00B25E85" w:rsidRDefault="00A15BBA">
      <w:pPr>
        <w:pBdr>
          <w:top w:val="nil"/>
          <w:left w:val="nil"/>
          <w:bottom w:val="nil"/>
          <w:right w:val="nil"/>
          <w:between w:val="nil"/>
        </w:pBdr>
        <w:spacing w:after="0" w:line="240" w:lineRule="auto"/>
        <w:rPr>
          <w:color w:val="000000"/>
        </w:rPr>
      </w:pPr>
      <w:r>
        <w:rPr>
          <w:color w:val="000000"/>
        </w:rPr>
        <w:t xml:space="preserve">The following types of PUDs are hereby established and may be proposed through a zoning map amendment </w:t>
      </w:r>
      <w:r>
        <w:rPr>
          <w:i/>
        </w:rPr>
        <w:t>(</w:t>
      </w:r>
      <w:r>
        <w:rPr>
          <w:i/>
          <w:color w:val="000000"/>
        </w:rPr>
        <w:t>insert into Township definitions as well</w:t>
      </w:r>
      <w:r>
        <w:rPr>
          <w:i/>
        </w:rPr>
        <w:t>)</w:t>
      </w:r>
      <w:r>
        <w:rPr>
          <w:color w:val="000000"/>
        </w:rPr>
        <w:t xml:space="preserve">: </w:t>
      </w:r>
    </w:p>
    <w:p w14:paraId="4A6C625E" w14:textId="77777777" w:rsidR="00B25E85" w:rsidRDefault="00A15BBA">
      <w:pPr>
        <w:numPr>
          <w:ilvl w:val="0"/>
          <w:numId w:val="7"/>
        </w:numPr>
        <w:pBdr>
          <w:top w:val="nil"/>
          <w:left w:val="nil"/>
          <w:bottom w:val="nil"/>
          <w:right w:val="nil"/>
          <w:between w:val="nil"/>
        </w:pBdr>
        <w:spacing w:after="0" w:line="240" w:lineRule="auto"/>
        <w:rPr>
          <w:color w:val="000000"/>
        </w:rPr>
      </w:pPr>
      <w:r>
        <w:rPr>
          <w:color w:val="000000"/>
        </w:rPr>
        <w:t>"P</w:t>
      </w:r>
      <w:r>
        <w:t>U</w:t>
      </w:r>
      <w:r>
        <w:rPr>
          <w:color w:val="000000"/>
        </w:rPr>
        <w:t xml:space="preserve">D-R" – Planned Residential Use - A planned unit development where the primary use of land is residential with the ability to include public, institutional, and recreational uses as approved by the Township. </w:t>
      </w:r>
    </w:p>
    <w:p w14:paraId="3B0696A7" w14:textId="77777777" w:rsidR="00B25E85" w:rsidRDefault="00A15BBA">
      <w:pPr>
        <w:numPr>
          <w:ilvl w:val="0"/>
          <w:numId w:val="7"/>
        </w:numPr>
        <w:pBdr>
          <w:top w:val="nil"/>
          <w:left w:val="nil"/>
          <w:bottom w:val="nil"/>
          <w:right w:val="nil"/>
          <w:between w:val="nil"/>
        </w:pBdr>
        <w:spacing w:after="0" w:line="240" w:lineRule="auto"/>
        <w:rPr>
          <w:color w:val="000000"/>
        </w:rPr>
      </w:pPr>
      <w:r>
        <w:rPr>
          <w:color w:val="000000"/>
        </w:rPr>
        <w:t xml:space="preserve">"PUD-MU" – Planned Mixed-Use – A planned unit development that includes a mixture of residential, commercial, and office uses as specified in this article with the ability to also include public, institutional, and recreational uses as approved by the Township. </w:t>
      </w:r>
    </w:p>
    <w:p w14:paraId="06CE4ABB" w14:textId="77777777" w:rsidR="00B25E85" w:rsidRDefault="00A15BBA">
      <w:pPr>
        <w:numPr>
          <w:ilvl w:val="0"/>
          <w:numId w:val="7"/>
        </w:numPr>
        <w:pBdr>
          <w:top w:val="nil"/>
          <w:left w:val="nil"/>
          <w:bottom w:val="nil"/>
          <w:right w:val="nil"/>
          <w:between w:val="nil"/>
        </w:pBdr>
        <w:rPr>
          <w:color w:val="000000"/>
        </w:rPr>
      </w:pPr>
      <w:r>
        <w:rPr>
          <w:color w:val="000000"/>
        </w:rPr>
        <w:t>"PUD-B" – Planned Business Use – A planned unit development where the primary use of land is commercial, office, and/or industrial with the ability to include public, institutional, and recreational uses as approved by the Township</w:t>
      </w:r>
      <w:r>
        <w:rPr>
          <w:color w:val="000000"/>
          <w:vertAlign w:val="superscript"/>
        </w:rPr>
        <w:footnoteReference w:id="1"/>
      </w:r>
      <w:r>
        <w:rPr>
          <w:color w:val="000000"/>
        </w:rPr>
        <w:t>.</w:t>
      </w:r>
    </w:p>
    <w:p w14:paraId="3315950B" w14:textId="77777777" w:rsidR="00B25E85" w:rsidRDefault="00A15BBA">
      <w:pPr>
        <w:pStyle w:val="Heading2"/>
      </w:pPr>
      <w:bookmarkStart w:id="1" w:name="_heading=h.805ymrv5y058" w:colFirst="0" w:colLast="0"/>
      <w:bookmarkEnd w:id="1"/>
      <w:r>
        <w:t xml:space="preserve">Other Definitions </w:t>
      </w:r>
    </w:p>
    <w:p w14:paraId="5E0387CF" w14:textId="77777777" w:rsidR="00B25E85" w:rsidRDefault="00A15BBA">
      <w:pPr>
        <w:rPr>
          <w:i/>
        </w:rPr>
      </w:pPr>
      <w:r>
        <w:rPr>
          <w:i/>
        </w:rPr>
        <w:t>(Insert if including in the Development Standards)</w:t>
      </w:r>
    </w:p>
    <w:p w14:paraId="487DEE9C" w14:textId="77777777" w:rsidR="00B25E85" w:rsidRDefault="00A15BBA">
      <w:pPr>
        <w:numPr>
          <w:ilvl w:val="0"/>
          <w:numId w:val="1"/>
        </w:numPr>
      </w:pPr>
      <w:r>
        <w:t>Green Infrastructure - Infrastructure that filters and absorbs stormwater where it falls. Examples include bioswales, rain gardens, planter boxes with stormwater catchment underneath, permeable pavement, green roofs, urban tree canopies, green streets (</w:t>
      </w:r>
      <w:hyperlink r:id="rId8">
        <w:r>
          <w:rPr>
            <w:i/>
            <w:color w:val="1155CC"/>
            <w:u w:val="single"/>
          </w:rPr>
          <w:t>What is Green Infrastructure? | US EPA</w:t>
        </w:r>
      </w:hyperlink>
      <w:r>
        <w:rPr>
          <w:i/>
        </w:rPr>
        <w:t>)</w:t>
      </w:r>
      <w:r>
        <w:t>.</w:t>
      </w:r>
    </w:p>
    <w:p w14:paraId="2237AB6B" w14:textId="77777777" w:rsidR="00B25E85" w:rsidRDefault="00A15BBA">
      <w:pPr>
        <w:pStyle w:val="Heading1"/>
      </w:pPr>
      <w:r>
        <w:t>Purpose and Intent</w:t>
      </w:r>
    </w:p>
    <w:p w14:paraId="4CB7EC0E" w14:textId="77777777" w:rsidR="00B25E85" w:rsidRDefault="00A15BBA">
      <w:pPr>
        <w:rPr>
          <w:i/>
        </w:rPr>
      </w:pPr>
      <w:r>
        <w:rPr>
          <w:i/>
        </w:rPr>
        <w:t xml:space="preserve">(This assumes the PUD is permitted as a Zoning District Overlay requiring a request for a zoning change </w:t>
      </w:r>
      <w:proofErr w:type="gramStart"/>
      <w:r>
        <w:rPr>
          <w:i/>
        </w:rPr>
        <w:t>in order to</w:t>
      </w:r>
      <w:proofErr w:type="gramEnd"/>
      <w:r>
        <w:rPr>
          <w:i/>
        </w:rPr>
        <w:t xml:space="preserve"> implement and not as a conditional use. May need to be altered for conditional use).</w:t>
      </w:r>
    </w:p>
    <w:p w14:paraId="46E7BA2A" w14:textId="77777777" w:rsidR="00B25E85" w:rsidRDefault="00A15BBA">
      <w:pPr>
        <w:pStyle w:val="Heading2"/>
      </w:pPr>
      <w:r>
        <w:lastRenderedPageBreak/>
        <w:t>Purpose</w:t>
      </w:r>
    </w:p>
    <w:p w14:paraId="42DDB85F" w14:textId="77777777" w:rsidR="00B25E85" w:rsidRDefault="00A15BBA">
      <w:r>
        <w:t xml:space="preserve">This article is intended to permit the creation of Planned Unit Development Districts (PUDs) to promote </w:t>
      </w:r>
      <w:proofErr w:type="gramStart"/>
      <w:r>
        <w:t>general public</w:t>
      </w:r>
      <w:proofErr w:type="gramEnd"/>
      <w:r>
        <w:t xml:space="preserve"> welfare, encourage the efficient use of land and resources, provide for greater efficiency in provision of public and utility services, and encourage innovation in the planning and building of all types of development. When the PUD overlay option has been exercised, any area so designated need not be uniform, but may differ to accommodate variations in development design which promotes the public health, </w:t>
      </w:r>
      <w:proofErr w:type="gramStart"/>
      <w:r>
        <w:t>safety</w:t>
      </w:r>
      <w:proofErr w:type="gramEnd"/>
      <w:r>
        <w:t xml:space="preserve"> and general welfare of the greater community. The Township, by adoption of these r</w:t>
      </w:r>
      <w:r>
        <w:t xml:space="preserve">egulations, seeks to promote the quality of the built environment while protecting the natural environment. To that end, the Regulations set forth in this article are adopted to be consistent with the existing character of the Township. The Township's character is related to the physical attributes of the Township, including its land use patterns and natural resources. </w:t>
      </w:r>
    </w:p>
    <w:p w14:paraId="4EF6E98E" w14:textId="77777777" w:rsidR="00B25E85" w:rsidRDefault="00A15BBA">
      <w:pPr>
        <w:pStyle w:val="Heading3"/>
      </w:pPr>
      <w:r>
        <w:t>Objectives</w:t>
      </w:r>
      <w:r>
        <w:rPr>
          <w:b/>
        </w:rPr>
        <w:t xml:space="preserve"> </w:t>
      </w:r>
      <w:r>
        <w:rPr>
          <w:i/>
        </w:rPr>
        <w:t>(Township objectives or following list or any combination thereof)</w:t>
      </w:r>
      <w:r>
        <w:t>:</w:t>
      </w:r>
    </w:p>
    <w:p w14:paraId="716ACCA4" w14:textId="77777777" w:rsidR="00B25E85" w:rsidRDefault="00A15BBA">
      <w:pPr>
        <w:numPr>
          <w:ilvl w:val="0"/>
          <w:numId w:val="8"/>
        </w:numPr>
        <w:pBdr>
          <w:top w:val="nil"/>
          <w:left w:val="nil"/>
          <w:bottom w:val="nil"/>
          <w:right w:val="nil"/>
          <w:between w:val="nil"/>
        </w:pBdr>
        <w:spacing w:after="0"/>
      </w:pPr>
      <w:r>
        <w:rPr>
          <w:color w:val="000000"/>
        </w:rPr>
        <w:t xml:space="preserve">Provide a variety of housing and lot sizes to promote the planning of a development that is more sensitive to the protection of natural resources on sites by concentrating housing in areas physically suited to accommodating development and preserving resources in open space. </w:t>
      </w:r>
    </w:p>
    <w:p w14:paraId="2939AA8A" w14:textId="77777777" w:rsidR="00B25E85" w:rsidRDefault="00A15BBA">
      <w:pPr>
        <w:numPr>
          <w:ilvl w:val="0"/>
          <w:numId w:val="8"/>
        </w:numPr>
        <w:pBdr>
          <w:top w:val="nil"/>
          <w:left w:val="nil"/>
          <w:bottom w:val="nil"/>
          <w:right w:val="nil"/>
          <w:between w:val="nil"/>
        </w:pBdr>
        <w:spacing w:after="0"/>
      </w:pPr>
      <w:r>
        <w:rPr>
          <w:color w:val="000000"/>
        </w:rPr>
        <w:t xml:space="preserve">Encourage the protection of open space by permitting developments with a range of densities that also provide open space, consistent with the open space character of the surrounding area. </w:t>
      </w:r>
    </w:p>
    <w:p w14:paraId="24502675" w14:textId="77777777" w:rsidR="00B25E85" w:rsidRDefault="00A15BBA">
      <w:pPr>
        <w:numPr>
          <w:ilvl w:val="0"/>
          <w:numId w:val="8"/>
        </w:numPr>
        <w:pBdr>
          <w:top w:val="nil"/>
          <w:left w:val="nil"/>
          <w:bottom w:val="nil"/>
          <w:right w:val="nil"/>
          <w:between w:val="nil"/>
        </w:pBdr>
        <w:spacing w:after="0"/>
      </w:pPr>
      <w:proofErr w:type="gramStart"/>
      <w:r>
        <w:rPr>
          <w:color w:val="000000"/>
        </w:rPr>
        <w:t>Preserve</w:t>
      </w:r>
      <w:proofErr w:type="gramEnd"/>
      <w:r>
        <w:rPr>
          <w:color w:val="000000"/>
        </w:rPr>
        <w:t xml:space="preserve"> open spaces to reduce erosion, improve water quality, provide wildlife habitats, retain scenic views, and reduce stormwater runoff. </w:t>
      </w:r>
    </w:p>
    <w:p w14:paraId="31E0246E" w14:textId="77777777" w:rsidR="00B25E85" w:rsidRDefault="00A15BBA">
      <w:pPr>
        <w:numPr>
          <w:ilvl w:val="0"/>
          <w:numId w:val="8"/>
        </w:numPr>
        <w:pBdr>
          <w:top w:val="nil"/>
          <w:left w:val="nil"/>
          <w:bottom w:val="nil"/>
          <w:right w:val="nil"/>
          <w:between w:val="nil"/>
        </w:pBdr>
        <w:spacing w:after="0"/>
      </w:pPr>
      <w:r>
        <w:rPr>
          <w:color w:val="000000"/>
        </w:rPr>
        <w:t xml:space="preserve">Preserve areas with steep terrain by respecting topography and other natural features in the development plan and maintaining significant percentages of land in open space in wooded and sloped areas. </w:t>
      </w:r>
    </w:p>
    <w:p w14:paraId="7EE26633" w14:textId="77777777" w:rsidR="00B25E85" w:rsidRDefault="00A15BBA">
      <w:pPr>
        <w:numPr>
          <w:ilvl w:val="0"/>
          <w:numId w:val="8"/>
        </w:numPr>
        <w:pBdr>
          <w:top w:val="nil"/>
          <w:left w:val="nil"/>
          <w:bottom w:val="nil"/>
          <w:right w:val="nil"/>
          <w:between w:val="nil"/>
        </w:pBdr>
        <w:spacing w:after="0"/>
      </w:pPr>
      <w:r>
        <w:rPr>
          <w:color w:val="000000"/>
        </w:rPr>
        <w:t xml:space="preserve">Provide for a variety of housing types in a single unified development that is integrated into the community. </w:t>
      </w:r>
    </w:p>
    <w:p w14:paraId="4E77B55A" w14:textId="77777777" w:rsidR="00B25E85" w:rsidRDefault="00A15BBA">
      <w:pPr>
        <w:numPr>
          <w:ilvl w:val="0"/>
          <w:numId w:val="8"/>
        </w:numPr>
        <w:pBdr>
          <w:top w:val="nil"/>
          <w:left w:val="nil"/>
          <w:bottom w:val="nil"/>
          <w:right w:val="nil"/>
          <w:between w:val="nil"/>
        </w:pBdr>
        <w:spacing w:after="0"/>
      </w:pPr>
      <w:r>
        <w:rPr>
          <w:color w:val="000000"/>
        </w:rPr>
        <w:t xml:space="preserve">Respect the character of surrounding developments by providing appropriate buffers as a transition to higher density uses. </w:t>
      </w:r>
    </w:p>
    <w:p w14:paraId="61751D3A" w14:textId="77777777" w:rsidR="00B25E85" w:rsidRDefault="00A15BBA">
      <w:pPr>
        <w:numPr>
          <w:ilvl w:val="0"/>
          <w:numId w:val="8"/>
        </w:numPr>
        <w:pBdr>
          <w:top w:val="nil"/>
          <w:left w:val="nil"/>
          <w:bottom w:val="nil"/>
          <w:right w:val="nil"/>
          <w:between w:val="nil"/>
        </w:pBdr>
        <w:spacing w:after="0"/>
      </w:pPr>
      <w:r>
        <w:rPr>
          <w:color w:val="000000"/>
        </w:rPr>
        <w:t xml:space="preserve">Provide a higher level of development review to ensure attractive, well-planned communities and eliminate the barriers to design that may exist when attempting to comply with conventional district standards and subdivision rules. </w:t>
      </w:r>
    </w:p>
    <w:p w14:paraId="64EF2A9C" w14:textId="77777777" w:rsidR="00B25E85" w:rsidRDefault="00A15BBA">
      <w:pPr>
        <w:numPr>
          <w:ilvl w:val="0"/>
          <w:numId w:val="8"/>
        </w:numPr>
        <w:pBdr>
          <w:top w:val="nil"/>
          <w:left w:val="nil"/>
          <w:bottom w:val="nil"/>
          <w:right w:val="nil"/>
          <w:between w:val="nil"/>
        </w:pBdr>
        <w:rPr>
          <w:color w:val="000000"/>
        </w:rPr>
      </w:pPr>
      <w:r>
        <w:rPr>
          <w:color w:val="000000"/>
        </w:rPr>
        <w:t xml:space="preserve">To ensure that the development projects are consistent with all </w:t>
      </w:r>
      <w:r>
        <w:t>applicable</w:t>
      </w:r>
      <w:r>
        <w:rPr>
          <w:color w:val="000000"/>
        </w:rPr>
        <w:t xml:space="preserve"> plans [Township Land Use Plan, Master Plan, Siting Plans, </w:t>
      </w:r>
      <w:proofErr w:type="spellStart"/>
      <w:r>
        <w:rPr>
          <w:color w:val="000000"/>
        </w:rPr>
        <w:t>etc</w:t>
      </w:r>
      <w:proofErr w:type="spellEnd"/>
      <w:r>
        <w:rPr>
          <w:color w:val="000000"/>
        </w:rPr>
        <w:t>].</w:t>
      </w:r>
    </w:p>
    <w:p w14:paraId="46429C21" w14:textId="77777777" w:rsidR="00B25E85" w:rsidRDefault="00A15BBA">
      <w:pPr>
        <w:pStyle w:val="Heading1"/>
      </w:pPr>
      <w:r>
        <w:t>Procedure</w:t>
      </w:r>
    </w:p>
    <w:p w14:paraId="046C88B1" w14:textId="77777777" w:rsidR="00B25E85" w:rsidRDefault="00A15BBA">
      <w:pPr>
        <w:rPr>
          <w:i/>
        </w:rPr>
      </w:pPr>
      <w:r>
        <w:rPr>
          <w:i/>
        </w:rPr>
        <w:t>(Follow existing Township procedure, insert section number, or modify)</w:t>
      </w:r>
    </w:p>
    <w:p w14:paraId="52C49497" w14:textId="77777777" w:rsidR="00B25E85" w:rsidRDefault="00A15BBA">
      <w:pPr>
        <w:numPr>
          <w:ilvl w:val="0"/>
          <w:numId w:val="2"/>
        </w:numPr>
        <w:pBdr>
          <w:top w:val="nil"/>
          <w:left w:val="nil"/>
          <w:bottom w:val="nil"/>
          <w:right w:val="nil"/>
          <w:between w:val="nil"/>
        </w:pBdr>
        <w:spacing w:after="0"/>
      </w:pPr>
      <w:r>
        <w:rPr>
          <w:color w:val="000000"/>
        </w:rPr>
        <w:t xml:space="preserve">A PUD application and </w:t>
      </w:r>
      <w:r>
        <w:rPr>
          <w:b/>
          <w:color w:val="000000"/>
        </w:rPr>
        <w:t xml:space="preserve">[insert either Concept Plan, Site Plan, or Development Plan] </w:t>
      </w:r>
      <w:r>
        <w:rPr>
          <w:color w:val="000000"/>
        </w:rPr>
        <w:t xml:space="preserve">shall be submitted to </w:t>
      </w:r>
      <w:r>
        <w:rPr>
          <w:b/>
          <w:color w:val="000000"/>
        </w:rPr>
        <w:t xml:space="preserve">[Township </w:t>
      </w:r>
      <w:r>
        <w:rPr>
          <w:b/>
        </w:rPr>
        <w:t>E</w:t>
      </w:r>
      <w:r>
        <w:rPr>
          <w:b/>
          <w:color w:val="000000"/>
        </w:rPr>
        <w:t xml:space="preserve">ntity] </w:t>
      </w:r>
      <w:r>
        <w:rPr>
          <w:color w:val="000000"/>
        </w:rPr>
        <w:t xml:space="preserve">who shall determine the completeness of the application. </w:t>
      </w:r>
      <w:r>
        <w:rPr>
          <w:i/>
        </w:rPr>
        <w:t>(</w:t>
      </w:r>
      <w:r>
        <w:rPr>
          <w:i/>
          <w:color w:val="000000"/>
        </w:rPr>
        <w:t xml:space="preserve">Application procedure, e.g., conditional use, zoning amendment, </w:t>
      </w:r>
      <w:proofErr w:type="spellStart"/>
      <w:r>
        <w:rPr>
          <w:i/>
          <w:color w:val="000000"/>
        </w:rPr>
        <w:t>etc</w:t>
      </w:r>
      <w:proofErr w:type="spellEnd"/>
      <w:r>
        <w:rPr>
          <w:i/>
        </w:rPr>
        <w:t>)</w:t>
      </w:r>
      <w:r>
        <w:t>.</w:t>
      </w:r>
    </w:p>
    <w:p w14:paraId="5A8537BA" w14:textId="77777777" w:rsidR="00B25E85" w:rsidRDefault="00A15BBA">
      <w:pPr>
        <w:numPr>
          <w:ilvl w:val="0"/>
          <w:numId w:val="2"/>
        </w:numPr>
        <w:pBdr>
          <w:top w:val="nil"/>
          <w:left w:val="nil"/>
          <w:bottom w:val="nil"/>
          <w:right w:val="nil"/>
          <w:between w:val="nil"/>
        </w:pBdr>
      </w:pPr>
      <w:r>
        <w:rPr>
          <w:color w:val="000000"/>
        </w:rPr>
        <w:t xml:space="preserve">The </w:t>
      </w:r>
      <w:r>
        <w:rPr>
          <w:b/>
          <w:color w:val="000000"/>
        </w:rPr>
        <w:t>[insert either Concept Plan, Site Plan, or Development Plan]</w:t>
      </w:r>
      <w:r>
        <w:rPr>
          <w:color w:val="000000"/>
        </w:rPr>
        <w:t xml:space="preserve"> shall indicate the proposed zoning and land uses with percentage break outs, engineering, and architectural related design issues in addition to the following </w:t>
      </w:r>
      <w:r>
        <w:rPr>
          <w:b/>
          <w:color w:val="000000"/>
        </w:rPr>
        <w:t>[insert Township requirements]</w:t>
      </w:r>
      <w:r>
        <w:rPr>
          <w:color w:val="000000"/>
        </w:rPr>
        <w:t>.</w:t>
      </w:r>
    </w:p>
    <w:p w14:paraId="43B7B05D" w14:textId="77777777" w:rsidR="00B25E85" w:rsidRDefault="00A15BBA">
      <w:pPr>
        <w:pStyle w:val="Heading1"/>
      </w:pPr>
      <w:r>
        <w:lastRenderedPageBreak/>
        <w:t>Development Standards</w:t>
      </w:r>
    </w:p>
    <w:p w14:paraId="78F5B8CC" w14:textId="77777777" w:rsidR="00B25E85" w:rsidRDefault="00A15BBA">
      <w:r>
        <w:t>Except as otherwise authorized by the Zoning Commission, PUD Districts shall comply with the following development standards:</w:t>
      </w:r>
    </w:p>
    <w:p w14:paraId="05BF6239" w14:textId="77777777" w:rsidR="00B25E85" w:rsidRDefault="00A15BBA">
      <w:pPr>
        <w:spacing w:after="0"/>
        <w:rPr>
          <w:b/>
        </w:rPr>
      </w:pPr>
      <w:r>
        <w:rPr>
          <w:b/>
          <w:u w:val="single"/>
        </w:rPr>
        <w:t>Density and Intensity of Uses</w:t>
      </w:r>
      <w:r>
        <w:rPr>
          <w:b/>
        </w:rPr>
        <w:t xml:space="preserve"> [insert Township requirement]</w:t>
      </w:r>
    </w:p>
    <w:p w14:paraId="1A27DEC7" w14:textId="77777777" w:rsidR="00B25E85" w:rsidRDefault="00A15BBA">
      <w:pPr>
        <w:numPr>
          <w:ilvl w:val="0"/>
          <w:numId w:val="4"/>
        </w:numPr>
        <w:pBdr>
          <w:top w:val="nil"/>
          <w:left w:val="nil"/>
          <w:bottom w:val="nil"/>
          <w:right w:val="nil"/>
          <w:between w:val="nil"/>
        </w:pBdr>
        <w:spacing w:after="0"/>
      </w:pPr>
      <w:r>
        <w:rPr>
          <w:color w:val="000000"/>
        </w:rPr>
        <w:t xml:space="preserve">All PUDs shall have a minimum site area of </w:t>
      </w:r>
      <w:r>
        <w:rPr>
          <w:b/>
          <w:color w:val="000000"/>
        </w:rPr>
        <w:t>[10]</w:t>
      </w:r>
      <w:r>
        <w:rPr>
          <w:color w:val="000000"/>
        </w:rPr>
        <w:t xml:space="preserve"> acres. </w:t>
      </w:r>
    </w:p>
    <w:p w14:paraId="069A495F" w14:textId="77777777" w:rsidR="00B25E85" w:rsidRDefault="00A15BBA">
      <w:pPr>
        <w:numPr>
          <w:ilvl w:val="0"/>
          <w:numId w:val="4"/>
        </w:numPr>
        <w:pBdr>
          <w:top w:val="nil"/>
          <w:left w:val="nil"/>
          <w:bottom w:val="nil"/>
          <w:right w:val="nil"/>
          <w:between w:val="nil"/>
        </w:pBdr>
        <w:spacing w:after="0"/>
      </w:pPr>
      <w:r>
        <w:rPr>
          <w:color w:val="000000"/>
        </w:rPr>
        <w:t xml:space="preserve">All PUDs shall comply with the standards set forth in </w:t>
      </w:r>
      <w:r>
        <w:rPr>
          <w:b/>
          <w:color w:val="000000"/>
        </w:rPr>
        <w:t>[Insert Table Number]</w:t>
      </w:r>
      <w:r>
        <w:rPr>
          <w:color w:val="000000"/>
        </w:rPr>
        <w:t>.</w:t>
      </w:r>
    </w:p>
    <w:p w14:paraId="67FD6327" w14:textId="77777777" w:rsidR="00B25E85" w:rsidRDefault="00A15BBA">
      <w:pPr>
        <w:numPr>
          <w:ilvl w:val="0"/>
          <w:numId w:val="4"/>
        </w:numPr>
        <w:pBdr>
          <w:top w:val="nil"/>
          <w:left w:val="nil"/>
          <w:bottom w:val="nil"/>
          <w:right w:val="nil"/>
          <w:between w:val="nil"/>
        </w:pBdr>
      </w:pPr>
      <w:r>
        <w:rPr>
          <w:color w:val="000000"/>
        </w:rPr>
        <w:t xml:space="preserve">A minimum of </w:t>
      </w:r>
      <w:r>
        <w:rPr>
          <w:b/>
          <w:color w:val="000000"/>
        </w:rPr>
        <w:t>[35]</w:t>
      </w:r>
      <w:r>
        <w:rPr>
          <w:color w:val="000000"/>
        </w:rPr>
        <w:t xml:space="preserve"> percent of the floor area in a PUD-MU shall be residential dwelling units. </w:t>
      </w:r>
      <w:r>
        <w:rPr>
          <w:i/>
        </w:rPr>
        <w:t>(Intended for Township’s allowing a vertical mix of uses).</w:t>
      </w:r>
    </w:p>
    <w:tbl>
      <w:tblPr>
        <w:tblStyle w:val="a"/>
        <w:tblW w:w="9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468"/>
        <w:gridCol w:w="2621"/>
        <w:gridCol w:w="2271"/>
      </w:tblGrid>
      <w:tr w:rsidR="00B25E85" w14:paraId="4F80BE8A" w14:textId="77777777" w:rsidTr="00B25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7ED1BE5C" w14:textId="77777777" w:rsidR="00B25E85" w:rsidRDefault="00A15BBA">
            <w:r>
              <w:t>[Table or section number]</w:t>
            </w:r>
            <w:r>
              <w:rPr>
                <w:b w:val="0"/>
              </w:rPr>
              <w:t>: PUD INTENSITY AND DENSITY STANDARDS</w:t>
            </w:r>
          </w:p>
        </w:tc>
      </w:tr>
      <w:tr w:rsidR="00B25E85" w14:paraId="3C13B065"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8" w:type="dxa"/>
          </w:tcPr>
          <w:p w14:paraId="191A9C5C" w14:textId="77777777" w:rsidR="00B25E85" w:rsidRDefault="00A15BBA">
            <w:r>
              <w:t>Zoning District</w:t>
            </w:r>
          </w:p>
        </w:tc>
        <w:tc>
          <w:tcPr>
            <w:tcW w:w="2621" w:type="dxa"/>
          </w:tcPr>
          <w:p w14:paraId="2CED424D" w14:textId="77777777" w:rsidR="00B25E85" w:rsidRDefault="00A15BBA">
            <w:pPr>
              <w:cnfStyle w:val="000000100000" w:firstRow="0" w:lastRow="0" w:firstColumn="0" w:lastColumn="0" w:oddVBand="0" w:evenVBand="0" w:oddHBand="1" w:evenHBand="0" w:firstRowFirstColumn="0" w:firstRowLastColumn="0" w:lastRowFirstColumn="0" w:lastRowLastColumn="0"/>
              <w:rPr>
                <w:b/>
                <w:vertAlign w:val="superscript"/>
              </w:rPr>
            </w:pPr>
            <w:r>
              <w:rPr>
                <w:b/>
              </w:rPr>
              <w:t>Minimum Open Space</w:t>
            </w:r>
            <w:r>
              <w:rPr>
                <w:b/>
                <w:vertAlign w:val="superscript"/>
              </w:rPr>
              <w:t>1</w:t>
            </w:r>
          </w:p>
        </w:tc>
        <w:tc>
          <w:tcPr>
            <w:tcW w:w="2271" w:type="dxa"/>
          </w:tcPr>
          <w:p w14:paraId="25154563" w14:textId="77777777" w:rsidR="00B25E85" w:rsidRDefault="00A15BBA">
            <w:pPr>
              <w:cnfStyle w:val="000000100000" w:firstRow="0" w:lastRow="0" w:firstColumn="0" w:lastColumn="0" w:oddVBand="0" w:evenVBand="0" w:oddHBand="1" w:evenHBand="0" w:firstRowFirstColumn="0" w:firstRowLastColumn="0" w:lastRowFirstColumn="0" w:lastRowLastColumn="0"/>
              <w:rPr>
                <w:b/>
              </w:rPr>
            </w:pPr>
            <w:r>
              <w:rPr>
                <w:b/>
              </w:rPr>
              <w:t>Maximum Density</w:t>
            </w:r>
          </w:p>
        </w:tc>
      </w:tr>
      <w:tr w:rsidR="00B25E85" w14:paraId="442F5B11" w14:textId="77777777" w:rsidTr="00B25E85">
        <w:tc>
          <w:tcPr>
            <w:cnfStyle w:val="001000000000" w:firstRow="0" w:lastRow="0" w:firstColumn="1" w:lastColumn="0" w:oddVBand="0" w:evenVBand="0" w:oddHBand="0" w:evenHBand="0" w:firstRowFirstColumn="0" w:firstRowLastColumn="0" w:lastRowFirstColumn="0" w:lastRowLastColumn="0"/>
            <w:tcW w:w="4468" w:type="dxa"/>
          </w:tcPr>
          <w:p w14:paraId="5A62ECD4" w14:textId="77777777" w:rsidR="00B25E85" w:rsidRDefault="00A15BBA">
            <w:r>
              <w:t>PUD-R, no sewer</w:t>
            </w:r>
          </w:p>
        </w:tc>
        <w:tc>
          <w:tcPr>
            <w:tcW w:w="2621" w:type="dxa"/>
          </w:tcPr>
          <w:p w14:paraId="20246E90" w14:textId="77777777" w:rsidR="00B25E85" w:rsidRDefault="00A15BBA">
            <w:pPr>
              <w:cnfStyle w:val="000000000000" w:firstRow="0" w:lastRow="0" w:firstColumn="0" w:lastColumn="0" w:oddVBand="0" w:evenVBand="0" w:oddHBand="0" w:evenHBand="0" w:firstRowFirstColumn="0" w:firstRowLastColumn="0" w:lastRowFirstColumn="0" w:lastRowLastColumn="0"/>
            </w:pPr>
            <w:r>
              <w:t>40%</w:t>
            </w:r>
          </w:p>
        </w:tc>
        <w:tc>
          <w:tcPr>
            <w:tcW w:w="2271" w:type="dxa"/>
          </w:tcPr>
          <w:p w14:paraId="30B25338" w14:textId="77777777" w:rsidR="00B25E85" w:rsidRDefault="00A15BBA">
            <w:pPr>
              <w:cnfStyle w:val="000000000000" w:firstRow="0" w:lastRow="0" w:firstColumn="0" w:lastColumn="0" w:oddVBand="0" w:evenVBand="0" w:oddHBand="0" w:evenHBand="0" w:firstRowFirstColumn="0" w:firstRowLastColumn="0" w:lastRowFirstColumn="0" w:lastRowLastColumn="0"/>
            </w:pPr>
            <w:r>
              <w:t>0.5 du/acre</w:t>
            </w:r>
          </w:p>
        </w:tc>
      </w:tr>
      <w:tr w:rsidR="00B25E85" w14:paraId="034A4042"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8" w:type="dxa"/>
          </w:tcPr>
          <w:p w14:paraId="67C57F34" w14:textId="77777777" w:rsidR="00B25E85" w:rsidRDefault="00A15BBA">
            <w:r>
              <w:t>PUD-R, sewer</w:t>
            </w:r>
          </w:p>
        </w:tc>
        <w:tc>
          <w:tcPr>
            <w:tcW w:w="2621" w:type="dxa"/>
          </w:tcPr>
          <w:p w14:paraId="1EADDA8A" w14:textId="77777777" w:rsidR="00B25E85" w:rsidRDefault="00A15BBA">
            <w:pPr>
              <w:cnfStyle w:val="000000100000" w:firstRow="0" w:lastRow="0" w:firstColumn="0" w:lastColumn="0" w:oddVBand="0" w:evenVBand="0" w:oddHBand="1" w:evenHBand="0" w:firstRowFirstColumn="0" w:firstRowLastColumn="0" w:lastRowFirstColumn="0" w:lastRowLastColumn="0"/>
            </w:pPr>
            <w:r>
              <w:t>35%</w:t>
            </w:r>
          </w:p>
        </w:tc>
        <w:tc>
          <w:tcPr>
            <w:tcW w:w="2271" w:type="dxa"/>
          </w:tcPr>
          <w:p w14:paraId="0EA5A226" w14:textId="77777777" w:rsidR="00B25E85" w:rsidRDefault="00A15BBA">
            <w:pPr>
              <w:cnfStyle w:val="000000100000" w:firstRow="0" w:lastRow="0" w:firstColumn="0" w:lastColumn="0" w:oddVBand="0" w:evenVBand="0" w:oddHBand="1" w:evenHBand="0" w:firstRowFirstColumn="0" w:firstRowLastColumn="0" w:lastRowFirstColumn="0" w:lastRowLastColumn="0"/>
            </w:pPr>
            <w:r>
              <w:t>4 du/acre</w:t>
            </w:r>
          </w:p>
        </w:tc>
      </w:tr>
      <w:tr w:rsidR="00B25E85" w14:paraId="56055892" w14:textId="77777777" w:rsidTr="00B25E85">
        <w:tc>
          <w:tcPr>
            <w:cnfStyle w:val="001000000000" w:firstRow="0" w:lastRow="0" w:firstColumn="1" w:lastColumn="0" w:oddVBand="0" w:evenVBand="0" w:oddHBand="0" w:evenHBand="0" w:firstRowFirstColumn="0" w:firstRowLastColumn="0" w:lastRowFirstColumn="0" w:lastRowLastColumn="0"/>
            <w:tcW w:w="4468" w:type="dxa"/>
          </w:tcPr>
          <w:p w14:paraId="528FDD25" w14:textId="77777777" w:rsidR="00B25E85" w:rsidRDefault="00A15BBA">
            <w:r>
              <w:t>PUD-R, within 500 feet of municipal boundary</w:t>
            </w:r>
          </w:p>
        </w:tc>
        <w:tc>
          <w:tcPr>
            <w:tcW w:w="2621" w:type="dxa"/>
          </w:tcPr>
          <w:p w14:paraId="7423C4FC" w14:textId="77777777" w:rsidR="00B25E85" w:rsidRDefault="00A15BBA">
            <w:pPr>
              <w:cnfStyle w:val="000000000000" w:firstRow="0" w:lastRow="0" w:firstColumn="0" w:lastColumn="0" w:oddVBand="0" w:evenVBand="0" w:oddHBand="0" w:evenHBand="0" w:firstRowFirstColumn="0" w:firstRowLastColumn="0" w:lastRowFirstColumn="0" w:lastRowLastColumn="0"/>
            </w:pPr>
            <w:r>
              <w:t>20%</w:t>
            </w:r>
          </w:p>
        </w:tc>
        <w:tc>
          <w:tcPr>
            <w:tcW w:w="2271" w:type="dxa"/>
          </w:tcPr>
          <w:p w14:paraId="1B48E1A6" w14:textId="77777777" w:rsidR="00B25E85" w:rsidRDefault="00A15BBA">
            <w:pPr>
              <w:cnfStyle w:val="000000000000" w:firstRow="0" w:lastRow="0" w:firstColumn="0" w:lastColumn="0" w:oddVBand="0" w:evenVBand="0" w:oddHBand="0" w:evenHBand="0" w:firstRowFirstColumn="0" w:firstRowLastColumn="0" w:lastRowFirstColumn="0" w:lastRowLastColumn="0"/>
            </w:pPr>
            <w:r>
              <w:t>16 du/acre</w:t>
            </w:r>
          </w:p>
        </w:tc>
      </w:tr>
      <w:tr w:rsidR="00B25E85" w14:paraId="6C83385A"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8" w:type="dxa"/>
          </w:tcPr>
          <w:p w14:paraId="2623CCE1" w14:textId="77777777" w:rsidR="00B25E85" w:rsidRDefault="00A15BBA">
            <w:r>
              <w:t>PUD-B</w:t>
            </w:r>
          </w:p>
        </w:tc>
        <w:tc>
          <w:tcPr>
            <w:tcW w:w="2621" w:type="dxa"/>
          </w:tcPr>
          <w:p w14:paraId="4677A689" w14:textId="77777777" w:rsidR="00B25E85" w:rsidRDefault="00A15BBA">
            <w:pPr>
              <w:cnfStyle w:val="000000100000" w:firstRow="0" w:lastRow="0" w:firstColumn="0" w:lastColumn="0" w:oddVBand="0" w:evenVBand="0" w:oddHBand="1" w:evenHBand="0" w:firstRowFirstColumn="0" w:firstRowLastColumn="0" w:lastRowFirstColumn="0" w:lastRowLastColumn="0"/>
              <w:rPr>
                <w:vertAlign w:val="superscript"/>
              </w:rPr>
            </w:pPr>
            <w:r>
              <w:t>20%</w:t>
            </w:r>
          </w:p>
        </w:tc>
        <w:tc>
          <w:tcPr>
            <w:tcW w:w="2271" w:type="dxa"/>
          </w:tcPr>
          <w:p w14:paraId="773CA497" w14:textId="77777777" w:rsidR="00B25E85" w:rsidRDefault="00A15BBA">
            <w:pPr>
              <w:cnfStyle w:val="000000100000" w:firstRow="0" w:lastRow="0" w:firstColumn="0" w:lastColumn="0" w:oddVBand="0" w:evenVBand="0" w:oddHBand="1" w:evenHBand="0" w:firstRowFirstColumn="0" w:firstRowLastColumn="0" w:lastRowFirstColumn="0" w:lastRowLastColumn="0"/>
            </w:pPr>
            <w:r>
              <w:t>0.3 FAR</w:t>
            </w:r>
          </w:p>
        </w:tc>
      </w:tr>
      <w:tr w:rsidR="00B25E85" w14:paraId="286372BD" w14:textId="77777777" w:rsidTr="00B25E85">
        <w:tc>
          <w:tcPr>
            <w:cnfStyle w:val="001000000000" w:firstRow="0" w:lastRow="0" w:firstColumn="1" w:lastColumn="0" w:oddVBand="0" w:evenVBand="0" w:oddHBand="0" w:evenHBand="0" w:firstRowFirstColumn="0" w:firstRowLastColumn="0" w:lastRowFirstColumn="0" w:lastRowLastColumn="0"/>
            <w:tcW w:w="4468" w:type="dxa"/>
          </w:tcPr>
          <w:p w14:paraId="0115CC83" w14:textId="77777777" w:rsidR="00B25E85" w:rsidRDefault="00A15BBA">
            <w:r>
              <w:t>PUD-MU</w:t>
            </w:r>
          </w:p>
        </w:tc>
        <w:tc>
          <w:tcPr>
            <w:tcW w:w="2621" w:type="dxa"/>
          </w:tcPr>
          <w:p w14:paraId="3C535BC9" w14:textId="77777777" w:rsidR="00B25E85" w:rsidRDefault="00A15BBA">
            <w:pPr>
              <w:cnfStyle w:val="000000000000" w:firstRow="0" w:lastRow="0" w:firstColumn="0" w:lastColumn="0" w:oddVBand="0" w:evenVBand="0" w:oddHBand="0" w:evenHBand="0" w:firstRowFirstColumn="0" w:firstRowLastColumn="0" w:lastRowFirstColumn="0" w:lastRowLastColumn="0"/>
              <w:rPr>
                <w:vertAlign w:val="superscript"/>
              </w:rPr>
            </w:pPr>
            <w:r>
              <w:t>30%</w:t>
            </w:r>
          </w:p>
        </w:tc>
        <w:tc>
          <w:tcPr>
            <w:tcW w:w="2271" w:type="dxa"/>
          </w:tcPr>
          <w:p w14:paraId="64F50F93" w14:textId="77777777" w:rsidR="00B25E85" w:rsidRDefault="00A15BBA">
            <w:pPr>
              <w:cnfStyle w:val="000000000000" w:firstRow="0" w:lastRow="0" w:firstColumn="0" w:lastColumn="0" w:oddVBand="0" w:evenVBand="0" w:oddHBand="0" w:evenHBand="0" w:firstRowFirstColumn="0" w:firstRowLastColumn="0" w:lastRowFirstColumn="0" w:lastRowLastColumn="0"/>
            </w:pPr>
            <w:r>
              <w:t>8 du/acre</w:t>
            </w:r>
          </w:p>
        </w:tc>
      </w:tr>
      <w:tr w:rsidR="00B25E85" w14:paraId="10C76E80"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0A358B90" w14:textId="77777777" w:rsidR="00B25E85" w:rsidRDefault="00A15BBA">
            <w:r>
              <w:rPr>
                <w:b w:val="0"/>
              </w:rPr>
              <w:t>FAR= Floor Area Ratio – FAR is calculated as a ratio of total gross floor area of the building divided by total square footage of the lot area.</w:t>
            </w:r>
          </w:p>
          <w:p w14:paraId="4337D10E" w14:textId="77777777" w:rsidR="00B25E85" w:rsidRDefault="00A15BBA">
            <w:pPr>
              <w:numPr>
                <w:ilvl w:val="0"/>
                <w:numId w:val="3"/>
              </w:numPr>
              <w:pBdr>
                <w:top w:val="nil"/>
                <w:left w:val="nil"/>
                <w:bottom w:val="nil"/>
                <w:right w:val="nil"/>
                <w:between w:val="nil"/>
              </w:pBdr>
              <w:spacing w:after="160" w:line="259" w:lineRule="auto"/>
              <w:rPr>
                <w:i/>
              </w:rPr>
            </w:pPr>
            <w:r>
              <w:rPr>
                <w:b w:val="0"/>
              </w:rPr>
              <w:t>Open space may be reduced if green infrastructure is incorporated in the design for PUD-MU and PUD-B. Open space may be reduced for PUD-R if active recreation is provided.</w:t>
            </w:r>
          </w:p>
          <w:p w14:paraId="4F5BD356" w14:textId="77777777" w:rsidR="00B25E85" w:rsidRDefault="00A15BBA">
            <w:pPr>
              <w:rPr>
                <w:i/>
              </w:rPr>
            </w:pPr>
            <w:r>
              <w:rPr>
                <w:b w:val="0"/>
                <w:i/>
              </w:rPr>
              <w:t>(Choose numbers which suit the Township development plans, zoning districts, and/or growth areas.)</w:t>
            </w:r>
          </w:p>
        </w:tc>
      </w:tr>
    </w:tbl>
    <w:p w14:paraId="4DE6D953" w14:textId="77777777" w:rsidR="00B25E85" w:rsidRDefault="00B25E85">
      <w:pPr>
        <w:rPr>
          <w:b/>
        </w:rPr>
      </w:pPr>
    </w:p>
    <w:p w14:paraId="2C2C212A" w14:textId="77777777" w:rsidR="00B25E85" w:rsidRDefault="00A15BBA">
      <w:pPr>
        <w:spacing w:after="0"/>
        <w:rPr>
          <w:b/>
          <w:u w:val="single"/>
        </w:rPr>
      </w:pPr>
      <w:r>
        <w:rPr>
          <w:b/>
          <w:u w:val="single"/>
        </w:rPr>
        <w:t xml:space="preserve">Lot Standards </w:t>
      </w:r>
    </w:p>
    <w:p w14:paraId="34012432" w14:textId="77777777" w:rsidR="00B25E85" w:rsidRDefault="00A15BBA">
      <w:pPr>
        <w:spacing w:after="200"/>
      </w:pPr>
      <w:r>
        <w:t>A PUD may contain various housing types which shall comply with the minimum lot size frontage and setback requirements set forth in</w:t>
      </w:r>
      <w:r>
        <w:rPr>
          <w:b/>
        </w:rPr>
        <w:t xml:space="preserve"> [Section or Table Reference]</w:t>
      </w:r>
      <w:r>
        <w:t>.</w:t>
      </w:r>
    </w:p>
    <w:tbl>
      <w:tblPr>
        <w:tblStyle w:val="a0"/>
        <w:tblW w:w="9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747"/>
        <w:gridCol w:w="1523"/>
        <w:gridCol w:w="1522"/>
        <w:gridCol w:w="1522"/>
        <w:gridCol w:w="1523"/>
        <w:gridCol w:w="1523"/>
      </w:tblGrid>
      <w:tr w:rsidR="00B25E85" w14:paraId="7E3F5C70" w14:textId="77777777" w:rsidTr="00B25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2AD66722" w14:textId="77777777" w:rsidR="00B25E85" w:rsidRDefault="00A15BBA">
            <w:pPr>
              <w:rPr>
                <w:i/>
              </w:rPr>
            </w:pPr>
            <w:r>
              <w:rPr>
                <w:i/>
              </w:rPr>
              <w:t xml:space="preserve">[Table or section number] </w:t>
            </w:r>
            <w:r>
              <w:rPr>
                <w:b w:val="0"/>
                <w:i/>
              </w:rPr>
              <w:t>LOT STANDARDS</w:t>
            </w:r>
          </w:p>
        </w:tc>
      </w:tr>
      <w:tr w:rsidR="00B25E85" w14:paraId="4C60D099"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vAlign w:val="bottom"/>
          </w:tcPr>
          <w:p w14:paraId="5FCA33C4" w14:textId="77777777" w:rsidR="00B25E85" w:rsidRDefault="00A15BBA">
            <w:pPr>
              <w:jc w:val="center"/>
            </w:pPr>
            <w:r>
              <w:t>Unit Type</w:t>
            </w:r>
          </w:p>
        </w:tc>
        <w:tc>
          <w:tcPr>
            <w:tcW w:w="1523" w:type="dxa"/>
            <w:vAlign w:val="bottom"/>
          </w:tcPr>
          <w:p w14:paraId="6B30C270" w14:textId="77777777" w:rsidR="00B25E85" w:rsidRDefault="00A15BBA">
            <w:pPr>
              <w:jc w:val="center"/>
              <w:cnfStyle w:val="000000100000" w:firstRow="0" w:lastRow="0" w:firstColumn="0" w:lastColumn="0" w:oddVBand="0" w:evenVBand="0" w:oddHBand="1" w:evenHBand="0" w:firstRowFirstColumn="0" w:firstRowLastColumn="0" w:lastRowFirstColumn="0" w:lastRowLastColumn="0"/>
              <w:rPr>
                <w:b/>
              </w:rPr>
            </w:pPr>
            <w:r>
              <w:rPr>
                <w:b/>
              </w:rPr>
              <w:t>Minimum Area (Sq. Ft.)</w:t>
            </w:r>
          </w:p>
        </w:tc>
        <w:tc>
          <w:tcPr>
            <w:tcW w:w="1522" w:type="dxa"/>
            <w:vAlign w:val="bottom"/>
          </w:tcPr>
          <w:p w14:paraId="48A03388" w14:textId="77777777" w:rsidR="00B25E85" w:rsidRDefault="00A15BBA">
            <w:pPr>
              <w:jc w:val="center"/>
              <w:cnfStyle w:val="000000100000" w:firstRow="0" w:lastRow="0" w:firstColumn="0" w:lastColumn="0" w:oddVBand="0" w:evenVBand="0" w:oddHBand="1" w:evenHBand="0" w:firstRowFirstColumn="0" w:firstRowLastColumn="0" w:lastRowFirstColumn="0" w:lastRowLastColumn="0"/>
              <w:rPr>
                <w:b/>
              </w:rPr>
            </w:pPr>
            <w:r>
              <w:rPr>
                <w:b/>
              </w:rPr>
              <w:t>Minimum Lot Width (Feet)</w:t>
            </w:r>
          </w:p>
        </w:tc>
        <w:tc>
          <w:tcPr>
            <w:tcW w:w="1522" w:type="dxa"/>
            <w:vAlign w:val="bottom"/>
          </w:tcPr>
          <w:p w14:paraId="44E5B129" w14:textId="77777777" w:rsidR="00B25E85" w:rsidRDefault="00A15BBA">
            <w:pPr>
              <w:jc w:val="center"/>
              <w:cnfStyle w:val="000000100000" w:firstRow="0" w:lastRow="0" w:firstColumn="0" w:lastColumn="0" w:oddVBand="0" w:evenVBand="0" w:oddHBand="1" w:evenHBand="0" w:firstRowFirstColumn="0" w:firstRowLastColumn="0" w:lastRowFirstColumn="0" w:lastRowLastColumn="0"/>
              <w:rPr>
                <w:b/>
                <w:vertAlign w:val="superscript"/>
              </w:rPr>
            </w:pPr>
            <w:r>
              <w:rPr>
                <w:b/>
              </w:rPr>
              <w:t>Minimum Front Yard (Feet)</w:t>
            </w:r>
            <w:r>
              <w:rPr>
                <w:b/>
                <w:vertAlign w:val="superscript"/>
              </w:rPr>
              <w:t>1</w:t>
            </w:r>
          </w:p>
        </w:tc>
        <w:tc>
          <w:tcPr>
            <w:tcW w:w="1523" w:type="dxa"/>
            <w:vAlign w:val="bottom"/>
          </w:tcPr>
          <w:p w14:paraId="3ACA5A0C" w14:textId="77777777" w:rsidR="00B25E85" w:rsidRDefault="00A15BBA">
            <w:pPr>
              <w:jc w:val="center"/>
              <w:cnfStyle w:val="000000100000" w:firstRow="0" w:lastRow="0" w:firstColumn="0" w:lastColumn="0" w:oddVBand="0" w:evenVBand="0" w:oddHBand="1" w:evenHBand="0" w:firstRowFirstColumn="0" w:firstRowLastColumn="0" w:lastRowFirstColumn="0" w:lastRowLastColumn="0"/>
              <w:rPr>
                <w:b/>
                <w:vertAlign w:val="superscript"/>
              </w:rPr>
            </w:pPr>
            <w:r>
              <w:rPr>
                <w:b/>
              </w:rPr>
              <w:t>Minimum Side Yard (Feet)</w:t>
            </w:r>
            <w:r>
              <w:rPr>
                <w:b/>
                <w:vertAlign w:val="superscript"/>
              </w:rPr>
              <w:t>1</w:t>
            </w:r>
          </w:p>
        </w:tc>
        <w:tc>
          <w:tcPr>
            <w:tcW w:w="1523" w:type="dxa"/>
            <w:vAlign w:val="bottom"/>
          </w:tcPr>
          <w:p w14:paraId="7FED4444" w14:textId="77777777" w:rsidR="00B25E85" w:rsidRDefault="00A15BBA">
            <w:pPr>
              <w:jc w:val="center"/>
              <w:cnfStyle w:val="000000100000" w:firstRow="0" w:lastRow="0" w:firstColumn="0" w:lastColumn="0" w:oddVBand="0" w:evenVBand="0" w:oddHBand="1" w:evenHBand="0" w:firstRowFirstColumn="0" w:firstRowLastColumn="0" w:lastRowFirstColumn="0" w:lastRowLastColumn="0"/>
              <w:rPr>
                <w:b/>
              </w:rPr>
            </w:pPr>
            <w:r>
              <w:rPr>
                <w:b/>
              </w:rPr>
              <w:t>Minimum Rear Yard (Feet)</w:t>
            </w:r>
          </w:p>
        </w:tc>
      </w:tr>
      <w:tr w:rsidR="00B25E85" w14:paraId="2E3ACE7B" w14:textId="77777777" w:rsidTr="00B25E85">
        <w:tc>
          <w:tcPr>
            <w:cnfStyle w:val="001000000000" w:firstRow="0" w:lastRow="0" w:firstColumn="1" w:lastColumn="0" w:oddVBand="0" w:evenVBand="0" w:oddHBand="0" w:evenHBand="0" w:firstRowFirstColumn="0" w:firstRowLastColumn="0" w:lastRowFirstColumn="0" w:lastRowLastColumn="0"/>
            <w:tcW w:w="1747" w:type="dxa"/>
          </w:tcPr>
          <w:p w14:paraId="392F6D00" w14:textId="77777777" w:rsidR="00B25E85" w:rsidRDefault="00A15BBA">
            <w:pPr>
              <w:rPr>
                <w:vertAlign w:val="superscript"/>
              </w:rPr>
            </w:pPr>
            <w:r>
              <w:t>Single-family detached</w:t>
            </w:r>
            <w:r>
              <w:rPr>
                <w:vertAlign w:val="superscript"/>
              </w:rPr>
              <w:t>2</w:t>
            </w:r>
          </w:p>
        </w:tc>
        <w:tc>
          <w:tcPr>
            <w:tcW w:w="1523" w:type="dxa"/>
            <w:vAlign w:val="center"/>
          </w:tcPr>
          <w:p w14:paraId="6B7576A8" w14:textId="77777777" w:rsidR="00B25E85" w:rsidRDefault="00A15BBA">
            <w:pPr>
              <w:cnfStyle w:val="000000000000" w:firstRow="0" w:lastRow="0" w:firstColumn="0" w:lastColumn="0" w:oddVBand="0" w:evenVBand="0" w:oddHBand="0" w:evenHBand="0" w:firstRowFirstColumn="0" w:firstRowLastColumn="0" w:lastRowFirstColumn="0" w:lastRowLastColumn="0"/>
            </w:pPr>
            <w:r>
              <w:t>10,500</w:t>
            </w:r>
          </w:p>
        </w:tc>
        <w:tc>
          <w:tcPr>
            <w:tcW w:w="1522" w:type="dxa"/>
            <w:vAlign w:val="center"/>
          </w:tcPr>
          <w:p w14:paraId="14560D2F" w14:textId="77777777" w:rsidR="00B25E85" w:rsidRDefault="00A15BBA">
            <w:pPr>
              <w:cnfStyle w:val="000000000000" w:firstRow="0" w:lastRow="0" w:firstColumn="0" w:lastColumn="0" w:oddVBand="0" w:evenVBand="0" w:oddHBand="0" w:evenHBand="0" w:firstRowFirstColumn="0" w:firstRowLastColumn="0" w:lastRowFirstColumn="0" w:lastRowLastColumn="0"/>
            </w:pPr>
            <w:r>
              <w:t>60</w:t>
            </w:r>
          </w:p>
        </w:tc>
        <w:tc>
          <w:tcPr>
            <w:tcW w:w="1522" w:type="dxa"/>
            <w:vAlign w:val="center"/>
          </w:tcPr>
          <w:p w14:paraId="44448B2E" w14:textId="77777777" w:rsidR="00B25E85" w:rsidRDefault="00A15BBA">
            <w:pPr>
              <w:cnfStyle w:val="000000000000" w:firstRow="0" w:lastRow="0" w:firstColumn="0" w:lastColumn="0" w:oddVBand="0" w:evenVBand="0" w:oddHBand="0" w:evenHBand="0" w:firstRowFirstColumn="0" w:firstRowLastColumn="0" w:lastRowFirstColumn="0" w:lastRowLastColumn="0"/>
            </w:pPr>
            <w:r>
              <w:t>30</w:t>
            </w:r>
          </w:p>
        </w:tc>
        <w:tc>
          <w:tcPr>
            <w:tcW w:w="1523" w:type="dxa"/>
            <w:vAlign w:val="center"/>
          </w:tcPr>
          <w:p w14:paraId="149C4C04" w14:textId="77777777" w:rsidR="00B25E85" w:rsidRDefault="00A15BBA">
            <w:pPr>
              <w:cnfStyle w:val="000000000000" w:firstRow="0" w:lastRow="0" w:firstColumn="0" w:lastColumn="0" w:oddVBand="0" w:evenVBand="0" w:oddHBand="0" w:evenHBand="0" w:firstRowFirstColumn="0" w:firstRowLastColumn="0" w:lastRowFirstColumn="0" w:lastRowLastColumn="0"/>
            </w:pPr>
            <w:r>
              <w:t>8</w:t>
            </w:r>
          </w:p>
        </w:tc>
        <w:tc>
          <w:tcPr>
            <w:tcW w:w="1523" w:type="dxa"/>
            <w:vAlign w:val="center"/>
          </w:tcPr>
          <w:p w14:paraId="4B1CE2EF" w14:textId="77777777" w:rsidR="00B25E85" w:rsidRDefault="00A15BBA">
            <w:pPr>
              <w:cnfStyle w:val="000000000000" w:firstRow="0" w:lastRow="0" w:firstColumn="0" w:lastColumn="0" w:oddVBand="0" w:evenVBand="0" w:oddHBand="0" w:evenHBand="0" w:firstRowFirstColumn="0" w:firstRowLastColumn="0" w:lastRowFirstColumn="0" w:lastRowLastColumn="0"/>
            </w:pPr>
            <w:r>
              <w:t>30</w:t>
            </w:r>
          </w:p>
        </w:tc>
      </w:tr>
      <w:tr w:rsidR="00B25E85" w14:paraId="25878A61"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14:paraId="21100E7D" w14:textId="77777777" w:rsidR="00B25E85" w:rsidRDefault="00A15BBA">
            <w:pPr>
              <w:rPr>
                <w:vertAlign w:val="superscript"/>
              </w:rPr>
            </w:pPr>
            <w:r>
              <w:t>Two family</w:t>
            </w:r>
            <w:r>
              <w:rPr>
                <w:vertAlign w:val="superscript"/>
              </w:rPr>
              <w:t>2</w:t>
            </w:r>
          </w:p>
        </w:tc>
        <w:tc>
          <w:tcPr>
            <w:tcW w:w="1523" w:type="dxa"/>
            <w:vAlign w:val="center"/>
          </w:tcPr>
          <w:p w14:paraId="0008A808" w14:textId="77777777" w:rsidR="00B25E85" w:rsidRDefault="00A15BBA">
            <w:pPr>
              <w:cnfStyle w:val="000000100000" w:firstRow="0" w:lastRow="0" w:firstColumn="0" w:lastColumn="0" w:oddVBand="0" w:evenVBand="0" w:oddHBand="1" w:evenHBand="0" w:firstRowFirstColumn="0" w:firstRowLastColumn="0" w:lastRowFirstColumn="0" w:lastRowLastColumn="0"/>
            </w:pPr>
            <w:r>
              <w:t>5,000 per unit</w:t>
            </w:r>
          </w:p>
        </w:tc>
        <w:tc>
          <w:tcPr>
            <w:tcW w:w="1522" w:type="dxa"/>
            <w:vAlign w:val="center"/>
          </w:tcPr>
          <w:p w14:paraId="6722ED7B" w14:textId="77777777" w:rsidR="00B25E85" w:rsidRDefault="00A15BBA">
            <w:pPr>
              <w:cnfStyle w:val="000000100000" w:firstRow="0" w:lastRow="0" w:firstColumn="0" w:lastColumn="0" w:oddVBand="0" w:evenVBand="0" w:oddHBand="1" w:evenHBand="0" w:firstRowFirstColumn="0" w:firstRowLastColumn="0" w:lastRowFirstColumn="0" w:lastRowLastColumn="0"/>
            </w:pPr>
            <w:r>
              <w:t>50</w:t>
            </w:r>
          </w:p>
        </w:tc>
        <w:tc>
          <w:tcPr>
            <w:tcW w:w="1522" w:type="dxa"/>
            <w:vAlign w:val="center"/>
          </w:tcPr>
          <w:p w14:paraId="41FD78D4" w14:textId="77777777" w:rsidR="00B25E85" w:rsidRDefault="00A15BBA">
            <w:pPr>
              <w:cnfStyle w:val="000000100000" w:firstRow="0" w:lastRow="0" w:firstColumn="0" w:lastColumn="0" w:oddVBand="0" w:evenVBand="0" w:oddHBand="1" w:evenHBand="0" w:firstRowFirstColumn="0" w:firstRowLastColumn="0" w:lastRowFirstColumn="0" w:lastRowLastColumn="0"/>
            </w:pPr>
            <w:r>
              <w:t>20</w:t>
            </w:r>
          </w:p>
        </w:tc>
        <w:tc>
          <w:tcPr>
            <w:tcW w:w="1523" w:type="dxa"/>
            <w:vAlign w:val="center"/>
          </w:tcPr>
          <w:p w14:paraId="341128C5" w14:textId="77777777" w:rsidR="00B25E85" w:rsidRDefault="00A15BBA">
            <w:pPr>
              <w:cnfStyle w:val="000000100000" w:firstRow="0" w:lastRow="0" w:firstColumn="0" w:lastColumn="0" w:oddVBand="0" w:evenVBand="0" w:oddHBand="1" w:evenHBand="0" w:firstRowFirstColumn="0" w:firstRowLastColumn="0" w:lastRowFirstColumn="0" w:lastRowLastColumn="0"/>
            </w:pPr>
            <w:r>
              <w:t>6</w:t>
            </w:r>
          </w:p>
        </w:tc>
        <w:tc>
          <w:tcPr>
            <w:tcW w:w="1523" w:type="dxa"/>
            <w:vAlign w:val="center"/>
          </w:tcPr>
          <w:p w14:paraId="1155D98C" w14:textId="77777777" w:rsidR="00B25E85" w:rsidRDefault="00A15BBA">
            <w:pPr>
              <w:cnfStyle w:val="000000100000" w:firstRow="0" w:lastRow="0" w:firstColumn="0" w:lastColumn="0" w:oddVBand="0" w:evenVBand="0" w:oddHBand="1" w:evenHBand="0" w:firstRowFirstColumn="0" w:firstRowLastColumn="0" w:lastRowFirstColumn="0" w:lastRowLastColumn="0"/>
            </w:pPr>
            <w:r>
              <w:t>30</w:t>
            </w:r>
          </w:p>
        </w:tc>
      </w:tr>
      <w:tr w:rsidR="00B25E85" w14:paraId="7EC7F8AA" w14:textId="77777777" w:rsidTr="00B25E85">
        <w:tc>
          <w:tcPr>
            <w:cnfStyle w:val="001000000000" w:firstRow="0" w:lastRow="0" w:firstColumn="1" w:lastColumn="0" w:oddVBand="0" w:evenVBand="0" w:oddHBand="0" w:evenHBand="0" w:firstRowFirstColumn="0" w:firstRowLastColumn="0" w:lastRowFirstColumn="0" w:lastRowLastColumn="0"/>
            <w:tcW w:w="1747" w:type="dxa"/>
          </w:tcPr>
          <w:p w14:paraId="5BD47FC2" w14:textId="77777777" w:rsidR="00B25E85" w:rsidRDefault="00A15BBA">
            <w:pPr>
              <w:rPr>
                <w:vertAlign w:val="superscript"/>
              </w:rPr>
            </w:pPr>
            <w:r>
              <w:t>Multi-family: 4 units or less</w:t>
            </w:r>
            <w:r>
              <w:rPr>
                <w:vertAlign w:val="superscript"/>
              </w:rPr>
              <w:t>2</w:t>
            </w:r>
          </w:p>
        </w:tc>
        <w:tc>
          <w:tcPr>
            <w:tcW w:w="1523" w:type="dxa"/>
            <w:vAlign w:val="center"/>
          </w:tcPr>
          <w:p w14:paraId="02360B20" w14:textId="77777777" w:rsidR="00B25E85" w:rsidRDefault="00A15BBA">
            <w:pPr>
              <w:cnfStyle w:val="000000000000" w:firstRow="0" w:lastRow="0" w:firstColumn="0" w:lastColumn="0" w:oddVBand="0" w:evenVBand="0" w:oddHBand="0" w:evenHBand="0" w:firstRowFirstColumn="0" w:firstRowLastColumn="0" w:lastRowFirstColumn="0" w:lastRowLastColumn="0"/>
            </w:pPr>
            <w:r>
              <w:t>3,000 per unit</w:t>
            </w:r>
          </w:p>
        </w:tc>
        <w:tc>
          <w:tcPr>
            <w:tcW w:w="1522" w:type="dxa"/>
            <w:vAlign w:val="center"/>
          </w:tcPr>
          <w:p w14:paraId="6E556F56" w14:textId="77777777" w:rsidR="00B25E85" w:rsidRDefault="00A15BBA">
            <w:pPr>
              <w:cnfStyle w:val="000000000000" w:firstRow="0" w:lastRow="0" w:firstColumn="0" w:lastColumn="0" w:oddVBand="0" w:evenVBand="0" w:oddHBand="0" w:evenHBand="0" w:firstRowFirstColumn="0" w:firstRowLastColumn="0" w:lastRowFirstColumn="0" w:lastRowLastColumn="0"/>
            </w:pPr>
            <w:r>
              <w:t>50</w:t>
            </w:r>
          </w:p>
        </w:tc>
        <w:tc>
          <w:tcPr>
            <w:tcW w:w="1522" w:type="dxa"/>
            <w:vAlign w:val="center"/>
          </w:tcPr>
          <w:p w14:paraId="5E9D3698" w14:textId="77777777" w:rsidR="00B25E85" w:rsidRDefault="00A15BBA">
            <w:pPr>
              <w:cnfStyle w:val="000000000000" w:firstRow="0" w:lastRow="0" w:firstColumn="0" w:lastColumn="0" w:oddVBand="0" w:evenVBand="0" w:oddHBand="0" w:evenHBand="0" w:firstRowFirstColumn="0" w:firstRowLastColumn="0" w:lastRowFirstColumn="0" w:lastRowLastColumn="0"/>
            </w:pPr>
            <w:r>
              <w:t>20</w:t>
            </w:r>
          </w:p>
        </w:tc>
        <w:tc>
          <w:tcPr>
            <w:tcW w:w="1523" w:type="dxa"/>
            <w:vAlign w:val="center"/>
          </w:tcPr>
          <w:p w14:paraId="50445BD4" w14:textId="77777777" w:rsidR="00B25E85" w:rsidRDefault="00A15BBA">
            <w:pPr>
              <w:cnfStyle w:val="000000000000" w:firstRow="0" w:lastRow="0" w:firstColumn="0" w:lastColumn="0" w:oddVBand="0" w:evenVBand="0" w:oddHBand="0" w:evenHBand="0" w:firstRowFirstColumn="0" w:firstRowLastColumn="0" w:lastRowFirstColumn="0" w:lastRowLastColumn="0"/>
            </w:pPr>
            <w:r>
              <w:t>6</w:t>
            </w:r>
          </w:p>
        </w:tc>
        <w:tc>
          <w:tcPr>
            <w:tcW w:w="1523" w:type="dxa"/>
            <w:vAlign w:val="center"/>
          </w:tcPr>
          <w:p w14:paraId="6983C275" w14:textId="77777777" w:rsidR="00B25E85" w:rsidRDefault="00A15BBA">
            <w:pPr>
              <w:cnfStyle w:val="000000000000" w:firstRow="0" w:lastRow="0" w:firstColumn="0" w:lastColumn="0" w:oddVBand="0" w:evenVBand="0" w:oddHBand="0" w:evenHBand="0" w:firstRowFirstColumn="0" w:firstRowLastColumn="0" w:lastRowFirstColumn="0" w:lastRowLastColumn="0"/>
            </w:pPr>
            <w:r>
              <w:t>25</w:t>
            </w:r>
          </w:p>
        </w:tc>
      </w:tr>
      <w:tr w:rsidR="00B25E85" w14:paraId="0679BD90"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14:paraId="589B7CC1" w14:textId="77777777" w:rsidR="00B25E85" w:rsidRDefault="00A15BBA">
            <w:pPr>
              <w:rPr>
                <w:vertAlign w:val="superscript"/>
              </w:rPr>
            </w:pPr>
            <w:r>
              <w:t>Multi-family: more than 4 units</w:t>
            </w:r>
            <w:r>
              <w:rPr>
                <w:vertAlign w:val="superscript"/>
              </w:rPr>
              <w:t>2</w:t>
            </w:r>
          </w:p>
        </w:tc>
        <w:tc>
          <w:tcPr>
            <w:tcW w:w="1523" w:type="dxa"/>
            <w:vAlign w:val="center"/>
          </w:tcPr>
          <w:p w14:paraId="600DE0A3" w14:textId="77777777" w:rsidR="00B25E85" w:rsidRDefault="00A15BBA">
            <w:pPr>
              <w:cnfStyle w:val="000000100000" w:firstRow="0" w:lastRow="0" w:firstColumn="0" w:lastColumn="0" w:oddVBand="0" w:evenVBand="0" w:oddHBand="1" w:evenHBand="0" w:firstRowFirstColumn="0" w:firstRowLastColumn="0" w:lastRowFirstColumn="0" w:lastRowLastColumn="0"/>
            </w:pPr>
            <w:r>
              <w:t>2,500 per unit</w:t>
            </w:r>
          </w:p>
        </w:tc>
        <w:tc>
          <w:tcPr>
            <w:tcW w:w="1522" w:type="dxa"/>
            <w:vAlign w:val="center"/>
          </w:tcPr>
          <w:p w14:paraId="0F6FB5F8" w14:textId="77777777" w:rsidR="00B25E85" w:rsidRDefault="00A15BBA">
            <w:pPr>
              <w:cnfStyle w:val="000000100000" w:firstRow="0" w:lastRow="0" w:firstColumn="0" w:lastColumn="0" w:oddVBand="0" w:evenVBand="0" w:oddHBand="1" w:evenHBand="0" w:firstRowFirstColumn="0" w:firstRowLastColumn="0" w:lastRowFirstColumn="0" w:lastRowLastColumn="0"/>
            </w:pPr>
            <w:r>
              <w:t>100</w:t>
            </w:r>
          </w:p>
        </w:tc>
        <w:tc>
          <w:tcPr>
            <w:tcW w:w="1522" w:type="dxa"/>
            <w:vAlign w:val="center"/>
          </w:tcPr>
          <w:p w14:paraId="4BA49C06" w14:textId="77777777" w:rsidR="00B25E85" w:rsidRDefault="00A15BBA">
            <w:pPr>
              <w:cnfStyle w:val="000000100000" w:firstRow="0" w:lastRow="0" w:firstColumn="0" w:lastColumn="0" w:oddVBand="0" w:evenVBand="0" w:oddHBand="1" w:evenHBand="0" w:firstRowFirstColumn="0" w:firstRowLastColumn="0" w:lastRowFirstColumn="0" w:lastRowLastColumn="0"/>
            </w:pPr>
            <w:r>
              <w:t>30</w:t>
            </w:r>
          </w:p>
        </w:tc>
        <w:tc>
          <w:tcPr>
            <w:tcW w:w="1523" w:type="dxa"/>
            <w:vAlign w:val="center"/>
          </w:tcPr>
          <w:p w14:paraId="05025D1D" w14:textId="77777777" w:rsidR="00B25E85" w:rsidRDefault="00A15BBA">
            <w:pPr>
              <w:cnfStyle w:val="000000100000" w:firstRow="0" w:lastRow="0" w:firstColumn="0" w:lastColumn="0" w:oddVBand="0" w:evenVBand="0" w:oddHBand="1" w:evenHBand="0" w:firstRowFirstColumn="0" w:firstRowLastColumn="0" w:lastRowFirstColumn="0" w:lastRowLastColumn="0"/>
            </w:pPr>
            <w:r>
              <w:t>12</w:t>
            </w:r>
          </w:p>
        </w:tc>
        <w:tc>
          <w:tcPr>
            <w:tcW w:w="1523" w:type="dxa"/>
            <w:vAlign w:val="center"/>
          </w:tcPr>
          <w:p w14:paraId="46BAC739" w14:textId="77777777" w:rsidR="00B25E85" w:rsidRDefault="00A15BBA">
            <w:pPr>
              <w:cnfStyle w:val="000000100000" w:firstRow="0" w:lastRow="0" w:firstColumn="0" w:lastColumn="0" w:oddVBand="0" w:evenVBand="0" w:oddHBand="1" w:evenHBand="0" w:firstRowFirstColumn="0" w:firstRowLastColumn="0" w:lastRowFirstColumn="0" w:lastRowLastColumn="0"/>
            </w:pPr>
            <w:r>
              <w:t>25</w:t>
            </w:r>
          </w:p>
        </w:tc>
      </w:tr>
      <w:tr w:rsidR="00B25E85" w14:paraId="758B1882" w14:textId="77777777" w:rsidTr="00B25E85">
        <w:tc>
          <w:tcPr>
            <w:cnfStyle w:val="001000000000" w:firstRow="0" w:lastRow="0" w:firstColumn="1" w:lastColumn="0" w:oddVBand="0" w:evenVBand="0" w:oddHBand="0" w:evenHBand="0" w:firstRowFirstColumn="0" w:firstRowLastColumn="0" w:lastRowFirstColumn="0" w:lastRowLastColumn="0"/>
            <w:tcW w:w="1747" w:type="dxa"/>
          </w:tcPr>
          <w:p w14:paraId="0769E75A" w14:textId="77777777" w:rsidR="00B25E85" w:rsidRDefault="00A15BBA">
            <w:pPr>
              <w:rPr>
                <w:vertAlign w:val="superscript"/>
              </w:rPr>
            </w:pPr>
            <w:r>
              <w:t>Nonresidential</w:t>
            </w:r>
            <w:r>
              <w:rPr>
                <w:vertAlign w:val="superscript"/>
              </w:rPr>
              <w:t>2,3</w:t>
            </w:r>
          </w:p>
        </w:tc>
        <w:tc>
          <w:tcPr>
            <w:tcW w:w="1523" w:type="dxa"/>
            <w:vAlign w:val="center"/>
          </w:tcPr>
          <w:p w14:paraId="04DD175B" w14:textId="77777777" w:rsidR="00B25E85" w:rsidRDefault="00A15BBA">
            <w:pPr>
              <w:cnfStyle w:val="000000000000" w:firstRow="0" w:lastRow="0" w:firstColumn="0" w:lastColumn="0" w:oddVBand="0" w:evenVBand="0" w:oddHBand="0" w:evenHBand="0" w:firstRowFirstColumn="0" w:firstRowLastColumn="0" w:lastRowFirstColumn="0" w:lastRowLastColumn="0"/>
            </w:pPr>
            <w:r>
              <w:t>20,000</w:t>
            </w:r>
          </w:p>
        </w:tc>
        <w:tc>
          <w:tcPr>
            <w:tcW w:w="1522" w:type="dxa"/>
            <w:vAlign w:val="center"/>
          </w:tcPr>
          <w:p w14:paraId="30D59F41" w14:textId="77777777" w:rsidR="00B25E85" w:rsidRDefault="00A15BBA">
            <w:pPr>
              <w:cnfStyle w:val="000000000000" w:firstRow="0" w:lastRow="0" w:firstColumn="0" w:lastColumn="0" w:oddVBand="0" w:evenVBand="0" w:oddHBand="0" w:evenHBand="0" w:firstRowFirstColumn="0" w:firstRowLastColumn="0" w:lastRowFirstColumn="0" w:lastRowLastColumn="0"/>
            </w:pPr>
            <w:r>
              <w:t>100</w:t>
            </w:r>
          </w:p>
        </w:tc>
        <w:tc>
          <w:tcPr>
            <w:tcW w:w="1522" w:type="dxa"/>
            <w:vAlign w:val="center"/>
          </w:tcPr>
          <w:p w14:paraId="0E4B4600" w14:textId="77777777" w:rsidR="00B25E85" w:rsidRDefault="00A15BBA">
            <w:pPr>
              <w:cnfStyle w:val="000000000000" w:firstRow="0" w:lastRow="0" w:firstColumn="0" w:lastColumn="0" w:oddVBand="0" w:evenVBand="0" w:oddHBand="0" w:evenHBand="0" w:firstRowFirstColumn="0" w:firstRowLastColumn="0" w:lastRowFirstColumn="0" w:lastRowLastColumn="0"/>
            </w:pPr>
            <w:r>
              <w:t>40</w:t>
            </w:r>
          </w:p>
        </w:tc>
        <w:tc>
          <w:tcPr>
            <w:tcW w:w="1523" w:type="dxa"/>
            <w:vAlign w:val="center"/>
          </w:tcPr>
          <w:p w14:paraId="78C9291E" w14:textId="77777777" w:rsidR="00B25E85" w:rsidRDefault="00A15BBA">
            <w:pPr>
              <w:cnfStyle w:val="000000000000" w:firstRow="0" w:lastRow="0" w:firstColumn="0" w:lastColumn="0" w:oddVBand="0" w:evenVBand="0" w:oddHBand="0" w:evenHBand="0" w:firstRowFirstColumn="0" w:firstRowLastColumn="0" w:lastRowFirstColumn="0" w:lastRowLastColumn="0"/>
            </w:pPr>
            <w:r>
              <w:t>10</w:t>
            </w:r>
          </w:p>
        </w:tc>
        <w:tc>
          <w:tcPr>
            <w:tcW w:w="1523" w:type="dxa"/>
            <w:vAlign w:val="center"/>
          </w:tcPr>
          <w:p w14:paraId="583B49CD" w14:textId="77777777" w:rsidR="00B25E85" w:rsidRDefault="00A15BBA">
            <w:pPr>
              <w:cnfStyle w:val="000000000000" w:firstRow="0" w:lastRow="0" w:firstColumn="0" w:lastColumn="0" w:oddVBand="0" w:evenVBand="0" w:oddHBand="0" w:evenHBand="0" w:firstRowFirstColumn="0" w:firstRowLastColumn="0" w:lastRowFirstColumn="0" w:lastRowLastColumn="0"/>
            </w:pPr>
            <w:r>
              <w:t>75</w:t>
            </w:r>
          </w:p>
        </w:tc>
      </w:tr>
      <w:tr w:rsidR="00B25E85" w14:paraId="77E28303"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6"/>
          </w:tcPr>
          <w:p w14:paraId="743827AA" w14:textId="77777777" w:rsidR="00B25E85" w:rsidRDefault="00A15BBA">
            <w:r>
              <w:rPr>
                <w:b w:val="0"/>
              </w:rPr>
              <w:t xml:space="preserve">NOTES: </w:t>
            </w:r>
          </w:p>
          <w:p w14:paraId="29568917" w14:textId="77777777" w:rsidR="00B25E85" w:rsidRDefault="00A15BBA">
            <w:pPr>
              <w:rPr>
                <w:i/>
              </w:rPr>
            </w:pPr>
            <w:r>
              <w:rPr>
                <w:b w:val="0"/>
              </w:rPr>
              <w:t xml:space="preserve">1. Setbacks may be waived for PUD-MU and PUD-B when similar uses are abutting each other along the lot line. Setbacks may be adjusted if the applicant proposes building pads that protect natural resources on the site. </w:t>
            </w:r>
            <w:r>
              <w:rPr>
                <w:b w:val="0"/>
                <w:i/>
              </w:rPr>
              <w:t>(Encourages a town center / First &amp; Main building style).</w:t>
            </w:r>
          </w:p>
          <w:p w14:paraId="77D5F338" w14:textId="77777777" w:rsidR="00B25E85" w:rsidRDefault="00A15BBA">
            <w:r>
              <w:rPr>
                <w:b w:val="0"/>
              </w:rPr>
              <w:lastRenderedPageBreak/>
              <w:t xml:space="preserve">2. The minimum lot area for lots without sanitary sewer shall be determined by the Portage County Combined General Health District. </w:t>
            </w:r>
          </w:p>
          <w:p w14:paraId="65E0B090" w14:textId="77777777" w:rsidR="00B25E85" w:rsidRDefault="00A15BBA">
            <w:r>
              <w:rPr>
                <w:b w:val="0"/>
              </w:rPr>
              <w:t>3. Setbacks may be varied for nonresidential buildings to minimize conflicts with adjoining residential uses, consistent with the intent to have buildings nearer the street with adequate landscaping to locate the parking at the rear of the building.</w:t>
            </w:r>
            <w:r>
              <w:t xml:space="preserve"> </w:t>
            </w:r>
          </w:p>
        </w:tc>
      </w:tr>
    </w:tbl>
    <w:p w14:paraId="47C91036" w14:textId="77777777" w:rsidR="00B25E85" w:rsidRDefault="00B25E85"/>
    <w:p w14:paraId="077FC6DB" w14:textId="77777777" w:rsidR="00B25E85" w:rsidRDefault="00A15BBA">
      <w:pPr>
        <w:spacing w:after="0"/>
        <w:rPr>
          <w:b/>
          <w:u w:val="single"/>
        </w:rPr>
      </w:pPr>
      <w:r>
        <w:rPr>
          <w:b/>
          <w:u w:val="single"/>
        </w:rPr>
        <w:t>Resource Protection Standards</w:t>
      </w:r>
    </w:p>
    <w:p w14:paraId="4BFC6DDD" w14:textId="77777777" w:rsidR="00B25E85" w:rsidRDefault="00A15BBA">
      <w:pPr>
        <w:numPr>
          <w:ilvl w:val="0"/>
          <w:numId w:val="5"/>
        </w:numPr>
        <w:pBdr>
          <w:top w:val="nil"/>
          <w:left w:val="nil"/>
          <w:bottom w:val="nil"/>
          <w:right w:val="nil"/>
          <w:between w:val="nil"/>
        </w:pBdr>
        <w:spacing w:after="0"/>
      </w:pPr>
      <w:r>
        <w:rPr>
          <w:color w:val="000000"/>
        </w:rPr>
        <w:t>The natural resources listed in this section are sensitive to development and shall be protected.</w:t>
      </w:r>
    </w:p>
    <w:p w14:paraId="2E0F9ADE" w14:textId="77777777" w:rsidR="00B25E85" w:rsidRDefault="00A15BBA">
      <w:pPr>
        <w:numPr>
          <w:ilvl w:val="0"/>
          <w:numId w:val="5"/>
        </w:numPr>
        <w:pBdr>
          <w:top w:val="nil"/>
          <w:left w:val="nil"/>
          <w:bottom w:val="nil"/>
          <w:right w:val="nil"/>
          <w:between w:val="nil"/>
        </w:pBdr>
        <w:spacing w:after="0"/>
      </w:pPr>
      <w:r>
        <w:rPr>
          <w:b/>
          <w:color w:val="000000"/>
        </w:rPr>
        <w:t xml:space="preserve">[Table or section number] </w:t>
      </w:r>
      <w:r>
        <w:rPr>
          <w:color w:val="000000"/>
        </w:rPr>
        <w:t xml:space="preserve">establishes the minimum percentages of those natural resource areas that are to be preserved as part of the PUD open space requirement. The </w:t>
      </w:r>
      <w:r>
        <w:rPr>
          <w:b/>
          <w:color w:val="000000"/>
        </w:rPr>
        <w:t>[Zoning Commission or Board of Trustees, or other Township entity]</w:t>
      </w:r>
      <w:r>
        <w:rPr>
          <w:color w:val="000000"/>
        </w:rPr>
        <w:t xml:space="preserve"> may reduce the percentages listed in </w:t>
      </w:r>
      <w:r>
        <w:rPr>
          <w:b/>
          <w:color w:val="000000"/>
        </w:rPr>
        <w:t>[table or section number]</w:t>
      </w:r>
      <w:r>
        <w:rPr>
          <w:color w:val="000000"/>
        </w:rPr>
        <w:t xml:space="preserve"> if they find that:</w:t>
      </w:r>
    </w:p>
    <w:p w14:paraId="27B4F97C" w14:textId="77777777" w:rsidR="00B25E85" w:rsidRDefault="00A15BBA">
      <w:pPr>
        <w:numPr>
          <w:ilvl w:val="1"/>
          <w:numId w:val="5"/>
        </w:numPr>
        <w:pBdr>
          <w:top w:val="nil"/>
          <w:left w:val="nil"/>
          <w:bottom w:val="nil"/>
          <w:right w:val="nil"/>
          <w:between w:val="nil"/>
        </w:pBdr>
        <w:spacing w:after="0"/>
      </w:pPr>
      <w:r>
        <w:rPr>
          <w:color w:val="000000"/>
        </w:rPr>
        <w:t>The proposed alternatives achieve the intent of resource protection to the same or better degree than the subject standard.</w:t>
      </w:r>
    </w:p>
    <w:p w14:paraId="64D3E4C8" w14:textId="77777777" w:rsidR="00B25E85" w:rsidRDefault="00A15BBA">
      <w:pPr>
        <w:numPr>
          <w:ilvl w:val="1"/>
          <w:numId w:val="5"/>
        </w:numPr>
        <w:pBdr>
          <w:top w:val="nil"/>
          <w:left w:val="nil"/>
          <w:bottom w:val="nil"/>
          <w:right w:val="nil"/>
          <w:between w:val="nil"/>
        </w:pBdr>
        <w:spacing w:after="0"/>
      </w:pPr>
      <w:r>
        <w:rPr>
          <w:color w:val="000000"/>
        </w:rPr>
        <w:t>The proposed alternatives achieve the goals and intent of this resolution [and the land use plan or area plan] to the same or better degree than the subject requirement; and</w:t>
      </w:r>
    </w:p>
    <w:p w14:paraId="2FFCCB96" w14:textId="77777777" w:rsidR="00B25E85" w:rsidRDefault="00A15BBA">
      <w:pPr>
        <w:numPr>
          <w:ilvl w:val="1"/>
          <w:numId w:val="5"/>
        </w:numPr>
        <w:pBdr>
          <w:top w:val="nil"/>
          <w:left w:val="nil"/>
          <w:bottom w:val="nil"/>
          <w:right w:val="nil"/>
          <w:between w:val="nil"/>
        </w:pBdr>
        <w:spacing w:after="0"/>
      </w:pPr>
      <w:r>
        <w:rPr>
          <w:color w:val="000000"/>
        </w:rPr>
        <w:t>The proposed alternatives result in benefits to the Township that are equivalent or better than compliance with the established percentage.</w:t>
      </w:r>
    </w:p>
    <w:p w14:paraId="101B07CC" w14:textId="77777777" w:rsidR="00B25E85" w:rsidRDefault="00A15BBA">
      <w:pPr>
        <w:numPr>
          <w:ilvl w:val="0"/>
          <w:numId w:val="5"/>
        </w:numPr>
        <w:pBdr>
          <w:top w:val="nil"/>
          <w:left w:val="nil"/>
          <w:bottom w:val="nil"/>
          <w:right w:val="nil"/>
          <w:between w:val="nil"/>
        </w:pBdr>
      </w:pPr>
      <w:r>
        <w:rPr>
          <w:b/>
          <w:color w:val="000000"/>
        </w:rPr>
        <w:t>[Site plan or development plan]</w:t>
      </w:r>
      <w:r>
        <w:rPr>
          <w:color w:val="000000"/>
        </w:rPr>
        <w:t xml:space="preserve"> shall include maps of the resources indicating those portions that shall be protected within the open space required as part of the PUD and permanently protected in accordance with this resolution. </w:t>
      </w:r>
    </w:p>
    <w:tbl>
      <w:tblPr>
        <w:tblStyle w:val="a1"/>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675"/>
        <w:gridCol w:w="4675"/>
      </w:tblGrid>
      <w:tr w:rsidR="00B25E85" w14:paraId="376BC873" w14:textId="77777777" w:rsidTr="00B25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806C977" w14:textId="77777777" w:rsidR="00B25E85" w:rsidRDefault="00A15BBA">
            <w:r>
              <w:rPr>
                <w:i/>
              </w:rPr>
              <w:t xml:space="preserve">[Table or section number] </w:t>
            </w:r>
            <w:r>
              <w:rPr>
                <w:b w:val="0"/>
                <w:i/>
              </w:rPr>
              <w:t>RESOURCE PROTECTION STANDARDS</w:t>
            </w:r>
          </w:p>
        </w:tc>
      </w:tr>
      <w:tr w:rsidR="00B25E85" w14:paraId="422770FF"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F5C51C" w14:textId="77777777" w:rsidR="00B25E85" w:rsidRDefault="00A15BBA">
            <w:r>
              <w:t>Natural Resource</w:t>
            </w:r>
          </w:p>
        </w:tc>
        <w:tc>
          <w:tcPr>
            <w:tcW w:w="4675" w:type="dxa"/>
          </w:tcPr>
          <w:p w14:paraId="3B979B23" w14:textId="77777777" w:rsidR="00B25E85" w:rsidRDefault="00A15BBA">
            <w:pPr>
              <w:cnfStyle w:val="000000100000" w:firstRow="0" w:lastRow="0" w:firstColumn="0" w:lastColumn="0" w:oddVBand="0" w:evenVBand="0" w:oddHBand="1" w:evenHBand="0" w:firstRowFirstColumn="0" w:firstRowLastColumn="0" w:lastRowFirstColumn="0" w:lastRowLastColumn="0"/>
              <w:rPr>
                <w:b/>
              </w:rPr>
            </w:pPr>
            <w:r>
              <w:rPr>
                <w:b/>
              </w:rPr>
              <w:t>Percentage to be Preserved</w:t>
            </w:r>
          </w:p>
        </w:tc>
      </w:tr>
      <w:tr w:rsidR="00B25E85" w14:paraId="0B72AB00" w14:textId="77777777" w:rsidTr="00B25E85">
        <w:tc>
          <w:tcPr>
            <w:cnfStyle w:val="001000000000" w:firstRow="0" w:lastRow="0" w:firstColumn="1" w:lastColumn="0" w:oddVBand="0" w:evenVBand="0" w:oddHBand="0" w:evenHBand="0" w:firstRowFirstColumn="0" w:firstRowLastColumn="0" w:lastRowFirstColumn="0" w:lastRowLastColumn="0"/>
            <w:tcW w:w="4675" w:type="dxa"/>
          </w:tcPr>
          <w:p w14:paraId="7E26B3F6" w14:textId="77777777" w:rsidR="00B25E85" w:rsidRDefault="00A15BBA">
            <w:r>
              <w:t>Floodplains as defined by FEMA</w:t>
            </w:r>
          </w:p>
        </w:tc>
        <w:tc>
          <w:tcPr>
            <w:tcW w:w="4675" w:type="dxa"/>
          </w:tcPr>
          <w:p w14:paraId="2DD2CF97" w14:textId="77777777" w:rsidR="00B25E85" w:rsidRDefault="00A15BBA">
            <w:pPr>
              <w:cnfStyle w:val="000000000000" w:firstRow="0" w:lastRow="0" w:firstColumn="0" w:lastColumn="0" w:oddVBand="0" w:evenVBand="0" w:oddHBand="0" w:evenHBand="0" w:firstRowFirstColumn="0" w:firstRowLastColumn="0" w:lastRowFirstColumn="0" w:lastRowLastColumn="0"/>
            </w:pPr>
            <w:r>
              <w:t>100%</w:t>
            </w:r>
          </w:p>
        </w:tc>
      </w:tr>
      <w:tr w:rsidR="00B25E85" w14:paraId="321868C7"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16DBFE" w14:textId="77777777" w:rsidR="00B25E85" w:rsidRDefault="00A15BBA">
            <w:r>
              <w:t>Wetlands</w:t>
            </w:r>
          </w:p>
        </w:tc>
        <w:tc>
          <w:tcPr>
            <w:tcW w:w="4675" w:type="dxa"/>
          </w:tcPr>
          <w:p w14:paraId="0D027392" w14:textId="77777777" w:rsidR="00B25E85" w:rsidRDefault="00A15BBA">
            <w:pPr>
              <w:cnfStyle w:val="000000100000" w:firstRow="0" w:lastRow="0" w:firstColumn="0" w:lastColumn="0" w:oddVBand="0" w:evenVBand="0" w:oddHBand="1" w:evenHBand="0" w:firstRowFirstColumn="0" w:firstRowLastColumn="0" w:lastRowFirstColumn="0" w:lastRowLastColumn="0"/>
            </w:pPr>
            <w:r>
              <w:t>Subject to US Army Corps of Engineers and Ohio EPA requirements</w:t>
            </w:r>
          </w:p>
        </w:tc>
      </w:tr>
      <w:tr w:rsidR="00B25E85" w14:paraId="4416B46E" w14:textId="77777777" w:rsidTr="00B25E85">
        <w:tc>
          <w:tcPr>
            <w:cnfStyle w:val="001000000000" w:firstRow="0" w:lastRow="0" w:firstColumn="1" w:lastColumn="0" w:oddVBand="0" w:evenVBand="0" w:oddHBand="0" w:evenHBand="0" w:firstRowFirstColumn="0" w:firstRowLastColumn="0" w:lastRowFirstColumn="0" w:lastRowLastColumn="0"/>
            <w:tcW w:w="4675" w:type="dxa"/>
          </w:tcPr>
          <w:p w14:paraId="6D7871BB" w14:textId="77777777" w:rsidR="00B25E85" w:rsidRDefault="00A15BBA">
            <w:r>
              <w:t>Riparian buffer</w:t>
            </w:r>
          </w:p>
        </w:tc>
        <w:tc>
          <w:tcPr>
            <w:tcW w:w="4675" w:type="dxa"/>
          </w:tcPr>
          <w:p w14:paraId="40B0122A" w14:textId="77777777" w:rsidR="00B25E85" w:rsidRDefault="00A15BBA">
            <w:pPr>
              <w:cnfStyle w:val="000000000000" w:firstRow="0" w:lastRow="0" w:firstColumn="0" w:lastColumn="0" w:oddVBand="0" w:evenVBand="0" w:oddHBand="0" w:evenHBand="0" w:firstRowFirstColumn="0" w:firstRowLastColumn="0" w:lastRowFirstColumn="0" w:lastRowLastColumn="0"/>
            </w:pPr>
            <w:r>
              <w:t>Subject to Township Requirements &amp; Minimum required by the County Subdivision Regulations</w:t>
            </w:r>
          </w:p>
          <w:p w14:paraId="3DB59938" w14:textId="77777777" w:rsidR="00B25E85" w:rsidRDefault="00A15BBA">
            <w:pPr>
              <w:numPr>
                <w:ilvl w:val="0"/>
                <w:numId w:val="6"/>
              </w:numPr>
              <w:cnfStyle w:val="000000000000" w:firstRow="0" w:lastRow="0" w:firstColumn="0" w:lastColumn="0" w:oddVBand="0" w:evenVBand="0" w:oddHBand="0" w:evenHBand="0" w:firstRowFirstColumn="0" w:firstRowLastColumn="0" w:lastRowFirstColumn="0" w:lastRowLastColumn="0"/>
              <w:rPr>
                <w:i/>
              </w:rPr>
            </w:pPr>
            <w:r>
              <w:rPr>
                <w:i/>
              </w:rPr>
              <w:t>(Suggested 300 feet on either side of the Cuyahoga River. 75 feet all other streams.)</w:t>
            </w:r>
          </w:p>
          <w:p w14:paraId="7AC3C984" w14:textId="77777777" w:rsidR="00B25E85" w:rsidRDefault="00A15BBA">
            <w:pPr>
              <w:numPr>
                <w:ilvl w:val="0"/>
                <w:numId w:val="6"/>
              </w:numPr>
              <w:cnfStyle w:val="000000000000" w:firstRow="0" w:lastRow="0" w:firstColumn="0" w:lastColumn="0" w:oddVBand="0" w:evenVBand="0" w:oddHBand="0" w:evenHBand="0" w:firstRowFirstColumn="0" w:firstRowLastColumn="0" w:lastRowFirstColumn="0" w:lastRowLastColumn="0"/>
              <w:rPr>
                <w:i/>
              </w:rPr>
            </w:pPr>
            <w:r>
              <w:rPr>
                <w:i/>
              </w:rPr>
              <w:t>(100 feet buffer for Category 3 High Quality Wetland, 75 feet buffer Category 2 Wetland)</w:t>
            </w:r>
          </w:p>
        </w:tc>
      </w:tr>
      <w:tr w:rsidR="00B25E85" w14:paraId="20C5845D"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14B3F5" w14:textId="77777777" w:rsidR="00B25E85" w:rsidRDefault="00A15BBA">
            <w:pPr>
              <w:rPr>
                <w:i/>
              </w:rPr>
            </w:pPr>
            <w:r>
              <w:t xml:space="preserve">Unstable slopes </w:t>
            </w:r>
            <w:r>
              <w:rPr>
                <w:b w:val="0"/>
                <w:i/>
              </w:rPr>
              <w:t>(if used, define based on Portage County Soil Survey for the individual Township)</w:t>
            </w:r>
          </w:p>
        </w:tc>
        <w:tc>
          <w:tcPr>
            <w:tcW w:w="4675" w:type="dxa"/>
          </w:tcPr>
          <w:p w14:paraId="5348893B" w14:textId="77777777" w:rsidR="00B25E85" w:rsidRDefault="00A15BBA">
            <w:pPr>
              <w:cnfStyle w:val="000000100000" w:firstRow="0" w:lastRow="0" w:firstColumn="0" w:lastColumn="0" w:oddVBand="0" w:evenVBand="0" w:oddHBand="1" w:evenHBand="0" w:firstRowFirstColumn="0" w:firstRowLastColumn="0" w:lastRowFirstColumn="0" w:lastRowLastColumn="0"/>
            </w:pPr>
            <w:r>
              <w:t>90%</w:t>
            </w:r>
          </w:p>
        </w:tc>
      </w:tr>
      <w:tr w:rsidR="00B25E85" w14:paraId="6E2C2116" w14:textId="77777777" w:rsidTr="00B25E85">
        <w:tc>
          <w:tcPr>
            <w:cnfStyle w:val="001000000000" w:firstRow="0" w:lastRow="0" w:firstColumn="1" w:lastColumn="0" w:oddVBand="0" w:evenVBand="0" w:oddHBand="0" w:evenHBand="0" w:firstRowFirstColumn="0" w:firstRowLastColumn="0" w:lastRowFirstColumn="0" w:lastRowLastColumn="0"/>
            <w:tcW w:w="4675" w:type="dxa"/>
          </w:tcPr>
          <w:p w14:paraId="547394CA" w14:textId="77777777" w:rsidR="00B25E85" w:rsidRDefault="00A15BBA">
            <w:r>
              <w:t>Steep slopes [30% or steeper]</w:t>
            </w:r>
          </w:p>
        </w:tc>
        <w:tc>
          <w:tcPr>
            <w:tcW w:w="4675" w:type="dxa"/>
          </w:tcPr>
          <w:p w14:paraId="711FDB47" w14:textId="77777777" w:rsidR="00B25E85" w:rsidRDefault="00A15BBA">
            <w:pPr>
              <w:cnfStyle w:val="000000000000" w:firstRow="0" w:lastRow="0" w:firstColumn="0" w:lastColumn="0" w:oddVBand="0" w:evenVBand="0" w:oddHBand="0" w:evenHBand="0" w:firstRowFirstColumn="0" w:firstRowLastColumn="0" w:lastRowFirstColumn="0" w:lastRowLastColumn="0"/>
            </w:pPr>
            <w:r>
              <w:t>85%</w:t>
            </w:r>
          </w:p>
        </w:tc>
      </w:tr>
      <w:tr w:rsidR="00B25E85" w14:paraId="6CD271FD"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FE3138" w14:textId="77777777" w:rsidR="00B25E85" w:rsidRDefault="00A15BBA">
            <w:r>
              <w:t>Steep slopes [20-30%]</w:t>
            </w:r>
          </w:p>
        </w:tc>
        <w:tc>
          <w:tcPr>
            <w:tcW w:w="4675" w:type="dxa"/>
          </w:tcPr>
          <w:p w14:paraId="0BB2FE4C" w14:textId="77777777" w:rsidR="00B25E85" w:rsidRDefault="00A15BBA">
            <w:pPr>
              <w:cnfStyle w:val="000000100000" w:firstRow="0" w:lastRow="0" w:firstColumn="0" w:lastColumn="0" w:oddVBand="0" w:evenVBand="0" w:oddHBand="1" w:evenHBand="0" w:firstRowFirstColumn="0" w:firstRowLastColumn="0" w:lastRowFirstColumn="0" w:lastRowLastColumn="0"/>
            </w:pPr>
            <w:r>
              <w:t>70%</w:t>
            </w:r>
          </w:p>
        </w:tc>
      </w:tr>
      <w:tr w:rsidR="00B25E85" w14:paraId="28528579" w14:textId="77777777" w:rsidTr="00B25E85">
        <w:tc>
          <w:tcPr>
            <w:cnfStyle w:val="001000000000" w:firstRow="0" w:lastRow="0" w:firstColumn="1" w:lastColumn="0" w:oddVBand="0" w:evenVBand="0" w:oddHBand="0" w:evenHBand="0" w:firstRowFirstColumn="0" w:firstRowLastColumn="0" w:lastRowFirstColumn="0" w:lastRowLastColumn="0"/>
            <w:tcW w:w="4675" w:type="dxa"/>
          </w:tcPr>
          <w:p w14:paraId="606BE295" w14:textId="77777777" w:rsidR="00B25E85" w:rsidRDefault="00A15BBA">
            <w:r>
              <w:t>Highly permeable soils/ hydric soils</w:t>
            </w:r>
          </w:p>
        </w:tc>
        <w:tc>
          <w:tcPr>
            <w:tcW w:w="4675" w:type="dxa"/>
          </w:tcPr>
          <w:p w14:paraId="25E048B8" w14:textId="77777777" w:rsidR="00B25E85" w:rsidRDefault="00A15BBA">
            <w:pPr>
              <w:cnfStyle w:val="000000000000" w:firstRow="0" w:lastRow="0" w:firstColumn="0" w:lastColumn="0" w:oddVBand="0" w:evenVBand="0" w:oddHBand="0" w:evenHBand="0" w:firstRowFirstColumn="0" w:firstRowLastColumn="0" w:lastRowFirstColumn="0" w:lastRowLastColumn="0"/>
            </w:pPr>
            <w:r>
              <w:t>80%</w:t>
            </w:r>
          </w:p>
        </w:tc>
      </w:tr>
      <w:tr w:rsidR="00B25E85" w14:paraId="46AC41DC"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D74981" w14:textId="77777777" w:rsidR="00B25E85" w:rsidRDefault="00A15BBA">
            <w:r>
              <w:t>Mature woodland</w:t>
            </w:r>
          </w:p>
        </w:tc>
        <w:tc>
          <w:tcPr>
            <w:tcW w:w="4675" w:type="dxa"/>
          </w:tcPr>
          <w:p w14:paraId="5E2B8578" w14:textId="77777777" w:rsidR="00B25E85" w:rsidRDefault="00A15BBA">
            <w:pPr>
              <w:cnfStyle w:val="000000100000" w:firstRow="0" w:lastRow="0" w:firstColumn="0" w:lastColumn="0" w:oddVBand="0" w:evenVBand="0" w:oddHBand="1" w:evenHBand="0" w:firstRowFirstColumn="0" w:firstRowLastColumn="0" w:lastRowFirstColumn="0" w:lastRowLastColumn="0"/>
            </w:pPr>
            <w:r>
              <w:t>50%</w:t>
            </w:r>
          </w:p>
        </w:tc>
      </w:tr>
      <w:tr w:rsidR="00B25E85" w14:paraId="363DA741" w14:textId="77777777" w:rsidTr="00B25E85">
        <w:tc>
          <w:tcPr>
            <w:cnfStyle w:val="001000000000" w:firstRow="0" w:lastRow="0" w:firstColumn="1" w:lastColumn="0" w:oddVBand="0" w:evenVBand="0" w:oddHBand="0" w:evenHBand="0" w:firstRowFirstColumn="0" w:firstRowLastColumn="0" w:lastRowFirstColumn="0" w:lastRowLastColumn="0"/>
            <w:tcW w:w="4675" w:type="dxa"/>
          </w:tcPr>
          <w:p w14:paraId="59675E20" w14:textId="77777777" w:rsidR="00B25E85" w:rsidRDefault="00A15BBA">
            <w:r>
              <w:t>Other woodland</w:t>
            </w:r>
          </w:p>
        </w:tc>
        <w:tc>
          <w:tcPr>
            <w:tcW w:w="4675" w:type="dxa"/>
          </w:tcPr>
          <w:p w14:paraId="6D92DD38" w14:textId="77777777" w:rsidR="00B25E85" w:rsidRDefault="00A15BBA">
            <w:pPr>
              <w:cnfStyle w:val="000000000000" w:firstRow="0" w:lastRow="0" w:firstColumn="0" w:lastColumn="0" w:oddVBand="0" w:evenVBand="0" w:oddHBand="0" w:evenHBand="0" w:firstRowFirstColumn="0" w:firstRowLastColumn="0" w:lastRowFirstColumn="0" w:lastRowLastColumn="0"/>
            </w:pPr>
            <w:r>
              <w:t>30%</w:t>
            </w:r>
          </w:p>
        </w:tc>
      </w:tr>
      <w:tr w:rsidR="00B25E85" w14:paraId="08971859"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463077" w14:textId="77777777" w:rsidR="00B25E85" w:rsidRDefault="00A15BBA">
            <w:r>
              <w:lastRenderedPageBreak/>
              <w:t>Aquifer recharge areas</w:t>
            </w:r>
          </w:p>
        </w:tc>
        <w:tc>
          <w:tcPr>
            <w:tcW w:w="4675" w:type="dxa"/>
          </w:tcPr>
          <w:p w14:paraId="7DBE4CD9" w14:textId="77777777" w:rsidR="00B25E85" w:rsidRDefault="00A15BBA">
            <w:pPr>
              <w:cnfStyle w:val="000000100000" w:firstRow="0" w:lastRow="0" w:firstColumn="0" w:lastColumn="0" w:oddVBand="0" w:evenVBand="0" w:oddHBand="1" w:evenHBand="0" w:firstRowFirstColumn="0" w:firstRowLastColumn="0" w:lastRowFirstColumn="0" w:lastRowLastColumn="0"/>
            </w:pPr>
            <w:r>
              <w:t>100% of areas recharging 7+ inches per year as identified by the most recent version of ODNR’s Groundwater Vulnerability map.</w:t>
            </w:r>
          </w:p>
        </w:tc>
      </w:tr>
      <w:tr w:rsidR="00B25E85" w14:paraId="290CFB26" w14:textId="77777777" w:rsidTr="00B25E85">
        <w:tc>
          <w:tcPr>
            <w:cnfStyle w:val="001000000000" w:firstRow="0" w:lastRow="0" w:firstColumn="1" w:lastColumn="0" w:oddVBand="0" w:evenVBand="0" w:oddHBand="0" w:evenHBand="0" w:firstRowFirstColumn="0" w:firstRowLastColumn="0" w:lastRowFirstColumn="0" w:lastRowLastColumn="0"/>
            <w:tcW w:w="4675" w:type="dxa"/>
          </w:tcPr>
          <w:p w14:paraId="278DB705" w14:textId="77777777" w:rsidR="00B25E85" w:rsidRDefault="00A15BBA">
            <w:r>
              <w:t>Historic, archaeological, cultural features*</w:t>
            </w:r>
          </w:p>
        </w:tc>
        <w:tc>
          <w:tcPr>
            <w:tcW w:w="4675" w:type="dxa"/>
          </w:tcPr>
          <w:p w14:paraId="02B30680" w14:textId="2B638C3B" w:rsidR="00B25E85" w:rsidRDefault="00A15BBA">
            <w:pPr>
              <w:cnfStyle w:val="000000000000" w:firstRow="0" w:lastRow="0" w:firstColumn="0" w:lastColumn="0" w:oddVBand="0" w:evenVBand="0" w:oddHBand="0" w:evenHBand="0" w:firstRowFirstColumn="0" w:firstRowLastColumn="0" w:lastRowFirstColumn="0" w:lastRowLastColumn="0"/>
            </w:pPr>
            <w:r>
              <w:t xml:space="preserve">100% </w:t>
            </w:r>
            <w:r w:rsidR="0075480C">
              <w:t xml:space="preserve">or retention of the character of the area </w:t>
            </w:r>
            <w:r>
              <w:t>as identified by the Ohio History Connection or Township as critical to the Township identity</w:t>
            </w:r>
          </w:p>
        </w:tc>
      </w:tr>
      <w:tr w:rsidR="00B25E85" w14:paraId="298B3B90" w14:textId="77777777" w:rsidTr="00B25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0B9F72" w14:textId="77777777" w:rsidR="00B25E85" w:rsidRDefault="00A15BBA">
            <w:r>
              <w:t>Scenic views</w:t>
            </w:r>
          </w:p>
        </w:tc>
        <w:tc>
          <w:tcPr>
            <w:tcW w:w="4675" w:type="dxa"/>
          </w:tcPr>
          <w:p w14:paraId="42F0C390" w14:textId="77777777" w:rsidR="00B25E85" w:rsidRDefault="00A15BBA">
            <w:pPr>
              <w:cnfStyle w:val="000000100000" w:firstRow="0" w:lastRow="0" w:firstColumn="0" w:lastColumn="0" w:oddVBand="0" w:evenVBand="0" w:oddHBand="1" w:evenHBand="0" w:firstRowFirstColumn="0" w:firstRowLastColumn="0" w:lastRowFirstColumn="0" w:lastRowLastColumn="0"/>
              <w:rPr>
                <w:i/>
              </w:rPr>
            </w:pPr>
            <w:r>
              <w:rPr>
                <w:i/>
              </w:rPr>
              <w:t>(60-100%, variable due to conformity of design. Should be identified ahead of time by a Township plan or an analysis completed for the Township)</w:t>
            </w:r>
          </w:p>
        </w:tc>
      </w:tr>
      <w:tr w:rsidR="00B25E85" w14:paraId="7E1FB17D" w14:textId="77777777" w:rsidTr="00B25E85">
        <w:trPr>
          <w:trHeight w:val="220"/>
        </w:trPr>
        <w:tc>
          <w:tcPr>
            <w:cnfStyle w:val="001000000000" w:firstRow="0" w:lastRow="0" w:firstColumn="1" w:lastColumn="0" w:oddVBand="0" w:evenVBand="0" w:oddHBand="0" w:evenHBand="0" w:firstRowFirstColumn="0" w:firstRowLastColumn="0" w:lastRowFirstColumn="0" w:lastRowLastColumn="0"/>
            <w:tcW w:w="9350" w:type="dxa"/>
            <w:gridSpan w:val="2"/>
          </w:tcPr>
          <w:p w14:paraId="5D78CB64" w14:textId="4AD1225F" w:rsidR="00B25E85" w:rsidRDefault="00A15BBA">
            <w:r>
              <w:rPr>
                <w:b w:val="0"/>
              </w:rPr>
              <w:t xml:space="preserve">*Exceptions may be made for appropriate preservation of the </w:t>
            </w:r>
            <w:r w:rsidR="0075480C">
              <w:rPr>
                <w:b w:val="0"/>
              </w:rPr>
              <w:t>resource.</w:t>
            </w:r>
          </w:p>
        </w:tc>
      </w:tr>
    </w:tbl>
    <w:p w14:paraId="20E8F369" w14:textId="77777777" w:rsidR="00B25E85" w:rsidRDefault="00B25E85"/>
    <w:sectPr w:rsidR="00B25E8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03DE" w14:textId="77777777" w:rsidR="00A15BBA" w:rsidRDefault="00A15BBA">
      <w:pPr>
        <w:spacing w:after="0" w:line="240" w:lineRule="auto"/>
      </w:pPr>
      <w:r>
        <w:separator/>
      </w:r>
    </w:p>
  </w:endnote>
  <w:endnote w:type="continuationSeparator" w:id="0">
    <w:p w14:paraId="52C09E60" w14:textId="77777777" w:rsidR="00A15BBA" w:rsidRDefault="00A1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3DFE" w14:textId="77777777" w:rsidR="00B25E85" w:rsidRDefault="00A15BBA">
    <w:pPr>
      <w:pBdr>
        <w:top w:val="single" w:sz="4" w:space="8" w:color="4472C4"/>
        <w:left w:val="nil"/>
        <w:bottom w:val="nil"/>
        <w:right w:val="nil"/>
        <w:between w:val="nil"/>
      </w:pBdr>
      <w:tabs>
        <w:tab w:val="center" w:pos="4680"/>
        <w:tab w:val="right" w:pos="9360"/>
      </w:tabs>
      <w:spacing w:before="360" w:after="0" w:line="240" w:lineRule="auto"/>
      <w:jc w:val="right"/>
      <w:rPr>
        <w:color w:val="404040"/>
      </w:rPr>
    </w:pPr>
    <w:r>
      <w:rPr>
        <w:color w:val="404040"/>
      </w:rPr>
      <w:t>1</w:t>
    </w:r>
    <w:r>
      <w:rPr>
        <w:color w:val="404040"/>
      </w:rPr>
      <w:t>2</w:t>
    </w:r>
    <w:r>
      <w:rPr>
        <w:color w:val="404040"/>
      </w:rPr>
      <w:t>/</w:t>
    </w:r>
    <w:r>
      <w:rPr>
        <w:color w:val="404040"/>
      </w:rPr>
      <w:t>20</w:t>
    </w:r>
    <w:r>
      <w:rPr>
        <w:color w:val="404040"/>
      </w:rPr>
      <w:t xml:space="preserve">/2023 | </w:t>
    </w:r>
    <w:r>
      <w:rPr>
        <w:color w:val="404040"/>
      </w:rPr>
      <w:fldChar w:fldCharType="begin"/>
    </w:r>
    <w:r>
      <w:rPr>
        <w:color w:val="404040"/>
      </w:rPr>
      <w:instrText>PAGE</w:instrText>
    </w:r>
    <w:r>
      <w:rPr>
        <w:color w:val="404040"/>
      </w:rPr>
      <w:fldChar w:fldCharType="separate"/>
    </w:r>
    <w:r w:rsidR="0075480C">
      <w:rPr>
        <w:noProof/>
        <w:color w:val="404040"/>
      </w:rPr>
      <w:t>1</w:t>
    </w:r>
    <w:r>
      <w:rPr>
        <w:color w:val="404040"/>
      </w:rPr>
      <w:fldChar w:fldCharType="end"/>
    </w:r>
  </w:p>
  <w:p w14:paraId="27C9075A" w14:textId="77777777" w:rsidR="00B25E85" w:rsidRDefault="00B25E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2A16" w14:textId="77777777" w:rsidR="00A15BBA" w:rsidRDefault="00A15BBA">
      <w:pPr>
        <w:spacing w:after="0" w:line="240" w:lineRule="auto"/>
      </w:pPr>
      <w:r>
        <w:separator/>
      </w:r>
    </w:p>
  </w:footnote>
  <w:footnote w:type="continuationSeparator" w:id="0">
    <w:p w14:paraId="075D6C74" w14:textId="77777777" w:rsidR="00A15BBA" w:rsidRDefault="00A15BBA">
      <w:pPr>
        <w:spacing w:after="0" w:line="240" w:lineRule="auto"/>
      </w:pPr>
      <w:r>
        <w:continuationSeparator/>
      </w:r>
    </w:p>
  </w:footnote>
  <w:footnote w:id="1">
    <w:p w14:paraId="4B231355" w14:textId="77777777" w:rsidR="00B25E85" w:rsidRDefault="00A15BB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May be split into Commercial PUD and Industrial PUD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757F" w14:textId="77777777" w:rsidR="00B25E85" w:rsidRDefault="00A15BBA">
    <w:pPr>
      <w:pBdr>
        <w:top w:val="nil"/>
        <w:left w:val="nil"/>
        <w:bottom w:val="single" w:sz="4" w:space="8" w:color="4472C4"/>
        <w:right w:val="nil"/>
        <w:between w:val="nil"/>
      </w:pBdr>
      <w:tabs>
        <w:tab w:val="center" w:pos="4680"/>
        <w:tab w:val="right" w:pos="9360"/>
      </w:tabs>
      <w:spacing w:after="0" w:line="240" w:lineRule="auto"/>
      <w:jc w:val="right"/>
      <w:rPr>
        <w:color w:val="404040"/>
      </w:rPr>
    </w:pPr>
    <w:r>
      <w:rPr>
        <w:color w:val="404040"/>
      </w:rPr>
      <w:t>MODEL</w:t>
    </w:r>
    <w:r>
      <w:rPr>
        <w:color w:val="404040"/>
      </w:rPr>
      <w:t xml:space="preserve"> PUD </w:t>
    </w:r>
    <w:r>
      <w:rPr>
        <w:color w:val="404040"/>
      </w:rPr>
      <w:t>ORDINANCE</w:t>
    </w:r>
    <w:r>
      <w:rPr>
        <w:color w:val="404040"/>
      </w:rPr>
      <w:t>| Portage County Regional Planning Commission</w:t>
    </w:r>
  </w:p>
  <w:p w14:paraId="5E7D4441" w14:textId="77777777" w:rsidR="00B25E85" w:rsidRDefault="00B25E8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C1E"/>
    <w:multiLevelType w:val="multilevel"/>
    <w:tmpl w:val="D0644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24204"/>
    <w:multiLevelType w:val="multilevel"/>
    <w:tmpl w:val="C400C3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15062D"/>
    <w:multiLevelType w:val="multilevel"/>
    <w:tmpl w:val="482080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735CA2"/>
    <w:multiLevelType w:val="multilevel"/>
    <w:tmpl w:val="F6A810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2FA28F0"/>
    <w:multiLevelType w:val="multilevel"/>
    <w:tmpl w:val="5CE2A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1508E3"/>
    <w:multiLevelType w:val="multilevel"/>
    <w:tmpl w:val="514EAC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9F5FFE"/>
    <w:multiLevelType w:val="multilevel"/>
    <w:tmpl w:val="A1D6F5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F077421"/>
    <w:multiLevelType w:val="multilevel"/>
    <w:tmpl w:val="A8868D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4387951">
    <w:abstractNumId w:val="5"/>
  </w:num>
  <w:num w:numId="2" w16cid:durableId="320814612">
    <w:abstractNumId w:val="3"/>
  </w:num>
  <w:num w:numId="3" w16cid:durableId="543644213">
    <w:abstractNumId w:val="2"/>
  </w:num>
  <w:num w:numId="4" w16cid:durableId="1604650084">
    <w:abstractNumId w:val="1"/>
  </w:num>
  <w:num w:numId="5" w16cid:durableId="1216701987">
    <w:abstractNumId w:val="6"/>
  </w:num>
  <w:num w:numId="6" w16cid:durableId="803233073">
    <w:abstractNumId w:val="0"/>
  </w:num>
  <w:num w:numId="7" w16cid:durableId="746683836">
    <w:abstractNumId w:val="7"/>
  </w:num>
  <w:num w:numId="8" w16cid:durableId="466777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85"/>
    <w:rsid w:val="0075480C"/>
    <w:rsid w:val="00A15BBA"/>
    <w:rsid w:val="00B2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9DD3"/>
  <w15:docId w15:val="{AA601D93-3D4E-41FC-9D81-5ACDC549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color w:val="000000"/>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rPr>
      <w:color w:val="000000"/>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a.gov/green-infrastructure/what-green-infrastruc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5Xoe5cyv3IO41YT0I4OqlNxRnQ==">CgMxLjAyDmgud3NtYmxtNXp0dDV4Mg5oLjgwNXltcnY1eTA1ODgAciExZUxFcUR0ZldYXzVySWx6N2YtcGJaUFgzVlF6NXc2LWI=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Gifford</dc:creator>
  <cp:lastModifiedBy>Gail Gifford</cp:lastModifiedBy>
  <cp:revision>2</cp:revision>
  <dcterms:created xsi:type="dcterms:W3CDTF">2023-12-21T14:15:00Z</dcterms:created>
  <dcterms:modified xsi:type="dcterms:W3CDTF">2023-12-21T14:15:00Z</dcterms:modified>
</cp:coreProperties>
</file>